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heme="majorEastAsia" w:hAnsiTheme="majorEastAsia" w:eastAsiaTheme="majorEastAsia"/>
          <w:b/>
          <w:bCs/>
          <w:sz w:val="72"/>
          <w:szCs w:val="72"/>
        </w:rPr>
      </w:pPr>
    </w:p>
    <w:p>
      <w:pPr>
        <w:ind w:firstLine="1446" w:firstLineChars="200"/>
        <w:rPr>
          <w:rFonts w:asciiTheme="majorEastAsia" w:hAnsiTheme="majorEastAsia" w:eastAsiaTheme="majorEastAsia"/>
          <w:b/>
          <w:bCs/>
          <w:sz w:val="72"/>
          <w:szCs w:val="72"/>
        </w:rPr>
      </w:pPr>
    </w:p>
    <w:p>
      <w:pPr>
        <w:ind w:firstLine="1771" w:firstLineChars="245"/>
        <w:rPr>
          <w:rFonts w:asciiTheme="majorEastAsia" w:hAnsiTheme="majorEastAsia" w:eastAsiaTheme="majorEastAsia"/>
          <w:b/>
          <w:bCs/>
          <w:sz w:val="72"/>
          <w:szCs w:val="72"/>
        </w:rPr>
      </w:pPr>
    </w:p>
    <w:p>
      <w:pPr>
        <w:ind w:firstLine="2125" w:firstLineChars="294"/>
        <w:rPr>
          <w:rFonts w:asciiTheme="majorEastAsia" w:hAnsiTheme="majorEastAsia" w:eastAsiaTheme="majorEastAsia"/>
          <w:b/>
          <w:bCs/>
          <w:sz w:val="72"/>
          <w:szCs w:val="72"/>
        </w:rPr>
      </w:pPr>
      <w:r>
        <w:rPr>
          <w:rFonts w:hint="eastAsia" w:asciiTheme="majorEastAsia" w:hAnsiTheme="majorEastAsia" w:eastAsiaTheme="majorEastAsia"/>
          <w:b/>
          <w:bCs/>
          <w:sz w:val="72"/>
          <w:szCs w:val="72"/>
        </w:rPr>
        <w:t>竞争性磋商文件</w:t>
      </w:r>
    </w:p>
    <w:p>
      <w:pPr>
        <w:spacing w:line="540" w:lineRule="exact"/>
        <w:ind w:firstLine="301" w:firstLineChars="100"/>
        <w:jc w:val="center"/>
        <w:rPr>
          <w:rFonts w:asciiTheme="majorEastAsia" w:hAnsiTheme="majorEastAsia" w:eastAsiaTheme="majorEastAsia"/>
          <w:b/>
          <w:sz w:val="30"/>
          <w:szCs w:val="30"/>
        </w:rPr>
      </w:pPr>
    </w:p>
    <w:p>
      <w:pPr>
        <w:spacing w:line="540" w:lineRule="exact"/>
        <w:ind w:firstLine="301" w:firstLineChars="100"/>
        <w:jc w:val="center"/>
        <w:rPr>
          <w:rFonts w:asciiTheme="majorEastAsia" w:hAnsiTheme="majorEastAsia" w:eastAsiaTheme="majorEastAsia"/>
          <w:b/>
          <w:sz w:val="30"/>
          <w:szCs w:val="30"/>
        </w:rPr>
      </w:pPr>
    </w:p>
    <w:p>
      <w:pPr>
        <w:spacing w:line="540" w:lineRule="exact"/>
        <w:ind w:firstLine="301" w:firstLineChars="100"/>
        <w:jc w:val="center"/>
        <w:rPr>
          <w:rFonts w:asciiTheme="majorEastAsia" w:hAnsiTheme="majorEastAsia" w:eastAsiaTheme="majorEastAsia"/>
          <w:b/>
          <w:sz w:val="30"/>
          <w:szCs w:val="30"/>
        </w:rPr>
      </w:pPr>
    </w:p>
    <w:p>
      <w:pPr>
        <w:spacing w:line="360" w:lineRule="auto"/>
        <w:jc w:val="center"/>
        <w:rPr>
          <w:rFonts w:hint="eastAsia" w:asciiTheme="majorEastAsia" w:hAnsiTheme="majorEastAsia" w:eastAsiaTheme="majorEastAsia"/>
          <w:b/>
          <w:sz w:val="32"/>
          <w:szCs w:val="32"/>
          <w:lang w:eastAsia="zh-CN"/>
        </w:rPr>
      </w:pPr>
      <w:r>
        <w:rPr>
          <w:rFonts w:hint="eastAsia" w:asciiTheme="majorEastAsia" w:hAnsiTheme="majorEastAsia" w:eastAsiaTheme="majorEastAsia"/>
          <w:b/>
          <w:sz w:val="32"/>
          <w:szCs w:val="32"/>
        </w:rPr>
        <w:t>项目名称：</w:t>
      </w:r>
      <w:r>
        <w:rPr>
          <w:rFonts w:hint="eastAsia" w:asciiTheme="majorEastAsia" w:hAnsiTheme="majorEastAsia" w:eastAsiaTheme="majorEastAsia"/>
          <w:b/>
          <w:sz w:val="32"/>
          <w:szCs w:val="32"/>
          <w:lang w:eastAsia="zh-CN"/>
        </w:rPr>
        <w:t>临沂市妇幼保健院院内指示导引系统项目</w:t>
      </w:r>
    </w:p>
    <w:p>
      <w:pPr>
        <w:spacing w:line="360" w:lineRule="auto"/>
        <w:ind w:firstLine="2249" w:firstLineChars="700"/>
        <w:rPr>
          <w:rFonts w:hint="eastAsia" w:asciiTheme="majorEastAsia" w:hAnsiTheme="majorEastAsia" w:eastAsiaTheme="majorEastAsia"/>
          <w:b/>
          <w:sz w:val="32"/>
          <w:szCs w:val="32"/>
          <w:lang w:eastAsia="zh-CN"/>
        </w:rPr>
      </w:pPr>
      <w:r>
        <w:rPr>
          <w:rFonts w:hint="eastAsia" w:asciiTheme="majorEastAsia" w:hAnsiTheme="majorEastAsia" w:eastAsiaTheme="majorEastAsia"/>
          <w:b/>
          <w:sz w:val="32"/>
          <w:szCs w:val="32"/>
        </w:rPr>
        <w:t>项目编号：</w:t>
      </w:r>
      <w:r>
        <w:rPr>
          <w:rFonts w:hint="eastAsia" w:asciiTheme="majorEastAsia" w:hAnsiTheme="majorEastAsia" w:eastAsiaTheme="majorEastAsia"/>
          <w:b/>
          <w:sz w:val="32"/>
          <w:szCs w:val="32"/>
          <w:lang w:eastAsia="zh-CN"/>
        </w:rPr>
        <w:t>SDGP371300201902001005</w:t>
      </w:r>
    </w:p>
    <w:p>
      <w:pPr>
        <w:spacing w:line="440" w:lineRule="exact"/>
        <w:ind w:firstLine="450" w:firstLineChars="150"/>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ind w:firstLine="2108" w:firstLineChars="700"/>
        <w:rPr>
          <w:rFonts w:asciiTheme="majorEastAsia" w:hAnsiTheme="majorEastAsia" w:eastAsiaTheme="majorEastAsia"/>
          <w:b/>
          <w:sz w:val="30"/>
          <w:szCs w:val="30"/>
        </w:rPr>
      </w:pPr>
      <w:r>
        <w:rPr>
          <w:rFonts w:hint="eastAsia" w:asciiTheme="majorEastAsia" w:hAnsiTheme="majorEastAsia" w:eastAsiaTheme="majorEastAsia"/>
          <w:b/>
          <w:sz w:val="30"/>
          <w:szCs w:val="30"/>
        </w:rPr>
        <w:t>采  购   人：</w:t>
      </w:r>
      <w:r>
        <w:rPr>
          <w:rFonts w:hint="eastAsia" w:asciiTheme="majorEastAsia" w:hAnsiTheme="majorEastAsia" w:eastAsiaTheme="majorEastAsia"/>
          <w:b/>
          <w:sz w:val="30"/>
          <w:szCs w:val="30"/>
          <w:lang w:eastAsia="zh-CN"/>
        </w:rPr>
        <w:t>临沂市妇幼保健院</w:t>
      </w:r>
      <w:r>
        <w:rPr>
          <w:rFonts w:asciiTheme="majorEastAsia" w:hAnsiTheme="majorEastAsia" w:eastAsiaTheme="majorEastAsia"/>
          <w:b/>
          <w:sz w:val="30"/>
          <w:szCs w:val="30"/>
        </w:rPr>
        <w:t xml:space="preserve"> </w:t>
      </w:r>
    </w:p>
    <w:p>
      <w:pPr>
        <w:spacing w:line="440" w:lineRule="exact"/>
        <w:ind w:firstLine="1807" w:firstLineChars="600"/>
        <w:jc w:val="both"/>
        <w:rPr>
          <w:rFonts w:asciiTheme="majorEastAsia" w:hAnsiTheme="majorEastAsia" w:eastAsiaTheme="majorEastAsia"/>
          <w:b/>
          <w:sz w:val="30"/>
          <w:szCs w:val="30"/>
        </w:rPr>
      </w:pPr>
      <w:r>
        <w:rPr>
          <w:rFonts w:hint="eastAsia" w:asciiTheme="majorEastAsia" w:hAnsiTheme="majorEastAsia" w:eastAsiaTheme="majorEastAsia"/>
          <w:b/>
          <w:sz w:val="30"/>
          <w:szCs w:val="30"/>
        </w:rPr>
        <w:t>采购代理机构：临沂鼎泰招标有限公司</w:t>
      </w:r>
    </w:p>
    <w:p>
      <w:pPr>
        <w:jc w:val="center"/>
        <w:rPr>
          <w:rFonts w:asciiTheme="majorEastAsia" w:hAnsiTheme="majorEastAsia" w:eastAsiaTheme="majorEastAsia"/>
          <w:b/>
          <w:bCs/>
          <w:sz w:val="30"/>
          <w:szCs w:val="30"/>
        </w:rPr>
      </w:pPr>
    </w:p>
    <w:p>
      <w:pPr>
        <w:jc w:val="center"/>
        <w:rPr>
          <w:rFonts w:asciiTheme="majorEastAsia" w:hAnsiTheme="majorEastAsia" w:eastAsiaTheme="majorEastAsia"/>
          <w:b/>
          <w:bCs/>
          <w:sz w:val="30"/>
          <w:szCs w:val="30"/>
        </w:rPr>
      </w:pPr>
      <w:r>
        <w:rPr>
          <w:rFonts w:hint="eastAsia" w:asciiTheme="majorEastAsia" w:hAnsiTheme="majorEastAsia" w:eastAsiaTheme="majorEastAsia"/>
          <w:b/>
          <w:bCs/>
          <w:sz w:val="30"/>
          <w:szCs w:val="30"/>
          <w:lang w:val="en-US" w:eastAsia="zh-CN"/>
        </w:rPr>
        <w:t>2020</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1</w:t>
      </w:r>
      <w:r>
        <w:rPr>
          <w:rFonts w:hint="eastAsia" w:asciiTheme="majorEastAsia" w:hAnsiTheme="majorEastAsia" w:eastAsiaTheme="majorEastAsia"/>
          <w:b/>
          <w:bCs/>
          <w:sz w:val="30"/>
          <w:szCs w:val="30"/>
        </w:rPr>
        <w:t>月</w:t>
      </w:r>
    </w:p>
    <w:p>
      <w:pPr>
        <w:pStyle w:val="24"/>
        <w:spacing w:beforeLines="100" w:afterLines="100"/>
        <w:ind w:firstLine="0" w:firstLineChars="0"/>
        <w:rPr>
          <w:rFonts w:asciiTheme="majorEastAsia" w:hAnsiTheme="majorEastAsia" w:eastAsiaTheme="majorEastAsia"/>
        </w:rPr>
      </w:pPr>
    </w:p>
    <w:p>
      <w:pPr>
        <w:pStyle w:val="24"/>
        <w:spacing w:beforeLines="100" w:afterLines="100"/>
        <w:ind w:left="399" w:leftChars="190" w:firstLine="3802" w:firstLineChars="1052"/>
        <w:rPr>
          <w:rFonts w:asciiTheme="majorEastAsia" w:hAnsiTheme="majorEastAsia" w:eastAsiaTheme="majorEastAsia"/>
          <w:b/>
          <w:sz w:val="36"/>
        </w:rPr>
      </w:pPr>
    </w:p>
    <w:p>
      <w:pPr>
        <w:pStyle w:val="24"/>
        <w:spacing w:beforeLines="100" w:afterLines="100"/>
        <w:ind w:firstLine="3253" w:firstLineChars="900"/>
        <w:rPr>
          <w:rFonts w:asciiTheme="majorEastAsia" w:hAnsiTheme="majorEastAsia" w:eastAsiaTheme="majorEastAsia"/>
          <w:b/>
          <w:sz w:val="36"/>
        </w:rPr>
      </w:pPr>
      <w:r>
        <w:rPr>
          <w:rFonts w:hint="eastAsia" w:asciiTheme="majorEastAsia" w:hAnsiTheme="majorEastAsia" w:eastAsiaTheme="majorEastAsia"/>
          <w:b/>
          <w:sz w:val="36"/>
        </w:rPr>
        <w:t>目    录</w:t>
      </w:r>
    </w:p>
    <w:p>
      <w:pPr>
        <w:pStyle w:val="24"/>
        <w:spacing w:beforeLines="100" w:afterLines="100"/>
        <w:ind w:left="400" w:firstLine="723"/>
        <w:jc w:val="center"/>
        <w:rPr>
          <w:rFonts w:asciiTheme="majorEastAsia" w:hAnsiTheme="majorEastAsia" w:eastAsiaTheme="majorEastAsia"/>
          <w:b/>
          <w:sz w:val="36"/>
        </w:rPr>
      </w:pPr>
    </w:p>
    <w:p>
      <w:pPr>
        <w:tabs>
          <w:tab w:val="left" w:pos="8080"/>
        </w:tabs>
        <w:spacing w:line="460" w:lineRule="exact"/>
        <w:ind w:right="748"/>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第一章   竞争性磋商公告------------------------------</w:t>
      </w:r>
    </w:p>
    <w:p>
      <w:pPr>
        <w:tabs>
          <w:tab w:val="left" w:pos="8080"/>
        </w:tabs>
        <w:spacing w:line="460" w:lineRule="exact"/>
        <w:ind w:right="748"/>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第二章   供应商须知----------------------------------</w:t>
      </w:r>
    </w:p>
    <w:p>
      <w:pPr>
        <w:tabs>
          <w:tab w:val="left" w:pos="8080"/>
        </w:tabs>
        <w:spacing w:line="460" w:lineRule="exact"/>
        <w:ind w:right="748"/>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一、  说明-------------------------------------------</w:t>
      </w:r>
    </w:p>
    <w:p>
      <w:pPr>
        <w:tabs>
          <w:tab w:val="left" w:pos="8080"/>
        </w:tabs>
        <w:spacing w:line="460" w:lineRule="exact"/>
        <w:ind w:right="748"/>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二、  磋商文件---------------------------------------</w:t>
      </w:r>
    </w:p>
    <w:p>
      <w:pPr>
        <w:tabs>
          <w:tab w:val="left" w:pos="8080"/>
        </w:tabs>
        <w:spacing w:line="460" w:lineRule="exact"/>
        <w:ind w:right="748"/>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三、  响应文件的编制---------------------------------</w:t>
      </w:r>
    </w:p>
    <w:p>
      <w:pPr>
        <w:tabs>
          <w:tab w:val="left" w:pos="8080"/>
        </w:tabs>
        <w:spacing w:line="460" w:lineRule="exact"/>
        <w:ind w:right="748"/>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四、  响应文件的递交---------------------------------</w:t>
      </w:r>
    </w:p>
    <w:p>
      <w:pPr>
        <w:tabs>
          <w:tab w:val="left" w:pos="8080"/>
        </w:tabs>
        <w:spacing w:line="460" w:lineRule="exact"/>
        <w:ind w:right="748"/>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五、  公开报价、评审、成交---------------------------</w:t>
      </w:r>
    </w:p>
    <w:p>
      <w:pPr>
        <w:tabs>
          <w:tab w:val="left" w:pos="8080"/>
        </w:tabs>
        <w:spacing w:line="460" w:lineRule="exact"/>
        <w:ind w:right="748"/>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六、  合同的授予-------------------------------------</w:t>
      </w:r>
    </w:p>
    <w:p>
      <w:pPr>
        <w:tabs>
          <w:tab w:val="left" w:pos="8080"/>
        </w:tabs>
        <w:spacing w:line="460" w:lineRule="exact"/>
        <w:ind w:right="748"/>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第三章   项目说明、要求------------------------------</w:t>
      </w:r>
    </w:p>
    <w:p>
      <w:pPr>
        <w:tabs>
          <w:tab w:val="left" w:pos="8080"/>
        </w:tabs>
        <w:spacing w:line="460" w:lineRule="exact"/>
        <w:ind w:right="748"/>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第四章   授予合同及参考范本--------------------------</w:t>
      </w:r>
    </w:p>
    <w:p>
      <w:pPr>
        <w:tabs>
          <w:tab w:val="left" w:pos="8080"/>
        </w:tabs>
        <w:spacing w:line="460" w:lineRule="exact"/>
        <w:ind w:right="748"/>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第五章   履约验收-------------------------------------</w:t>
      </w:r>
    </w:p>
    <w:p>
      <w:pPr>
        <w:tabs>
          <w:tab w:val="left" w:pos="8080"/>
        </w:tabs>
        <w:spacing w:line="460" w:lineRule="exact"/>
        <w:ind w:right="748"/>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第六章   附件----------------------------------------</w:t>
      </w:r>
    </w:p>
    <w:p>
      <w:pPr>
        <w:tabs>
          <w:tab w:val="left" w:pos="8080"/>
        </w:tabs>
        <w:spacing w:line="460" w:lineRule="exact"/>
        <w:ind w:right="748" w:firstLine="546" w:firstLineChars="195"/>
        <w:rPr>
          <w:rFonts w:asciiTheme="majorEastAsia" w:hAnsiTheme="majorEastAsia" w:eastAsiaTheme="majorEastAsia"/>
          <w:sz w:val="28"/>
          <w:szCs w:val="28"/>
        </w:rPr>
      </w:pPr>
    </w:p>
    <w:p>
      <w:pPr>
        <w:tabs>
          <w:tab w:val="left" w:pos="8080"/>
        </w:tabs>
        <w:spacing w:line="460" w:lineRule="exact"/>
        <w:ind w:right="748" w:firstLine="546" w:firstLineChars="195"/>
        <w:rPr>
          <w:rFonts w:asciiTheme="majorEastAsia" w:hAnsiTheme="majorEastAsia" w:eastAsiaTheme="majorEastAsia"/>
          <w:sz w:val="28"/>
          <w:szCs w:val="28"/>
        </w:rPr>
      </w:pPr>
    </w:p>
    <w:p>
      <w:pPr>
        <w:tabs>
          <w:tab w:val="left" w:pos="8080"/>
        </w:tabs>
        <w:spacing w:line="460" w:lineRule="exact"/>
        <w:ind w:right="748" w:firstLine="546" w:firstLineChars="195"/>
        <w:rPr>
          <w:rFonts w:asciiTheme="majorEastAsia" w:hAnsiTheme="majorEastAsia" w:eastAsiaTheme="majorEastAsia"/>
          <w:sz w:val="28"/>
          <w:szCs w:val="28"/>
        </w:rPr>
      </w:pPr>
    </w:p>
    <w:p>
      <w:pPr>
        <w:tabs>
          <w:tab w:val="left" w:pos="8080"/>
        </w:tabs>
        <w:spacing w:line="460" w:lineRule="exact"/>
        <w:ind w:right="748" w:firstLine="546" w:firstLineChars="195"/>
        <w:rPr>
          <w:rFonts w:asciiTheme="majorEastAsia" w:hAnsiTheme="majorEastAsia" w:eastAsiaTheme="majorEastAsia"/>
          <w:sz w:val="28"/>
          <w:szCs w:val="28"/>
        </w:rPr>
      </w:pPr>
    </w:p>
    <w:p>
      <w:pPr>
        <w:tabs>
          <w:tab w:val="left" w:pos="8080"/>
        </w:tabs>
        <w:spacing w:line="460" w:lineRule="exact"/>
        <w:ind w:right="748" w:firstLine="546" w:firstLineChars="195"/>
        <w:rPr>
          <w:rFonts w:asciiTheme="majorEastAsia" w:hAnsiTheme="majorEastAsia" w:eastAsiaTheme="majorEastAsia"/>
          <w:sz w:val="28"/>
          <w:szCs w:val="28"/>
        </w:rPr>
      </w:pPr>
    </w:p>
    <w:p>
      <w:pPr>
        <w:tabs>
          <w:tab w:val="left" w:pos="8080"/>
        </w:tabs>
        <w:spacing w:line="460" w:lineRule="exact"/>
        <w:ind w:right="748" w:firstLine="546" w:firstLineChars="195"/>
        <w:rPr>
          <w:rFonts w:asciiTheme="majorEastAsia" w:hAnsiTheme="majorEastAsia" w:eastAsiaTheme="majorEastAsia"/>
          <w:sz w:val="28"/>
          <w:szCs w:val="28"/>
        </w:rPr>
      </w:pPr>
    </w:p>
    <w:p>
      <w:pPr>
        <w:tabs>
          <w:tab w:val="left" w:pos="8080"/>
        </w:tabs>
        <w:spacing w:line="460" w:lineRule="exact"/>
        <w:ind w:right="748" w:firstLine="546" w:firstLineChars="195"/>
        <w:rPr>
          <w:rFonts w:asciiTheme="majorEastAsia" w:hAnsiTheme="majorEastAsia" w:eastAsiaTheme="majorEastAsia"/>
          <w:sz w:val="28"/>
          <w:szCs w:val="28"/>
        </w:rPr>
      </w:pPr>
    </w:p>
    <w:p>
      <w:pPr>
        <w:tabs>
          <w:tab w:val="left" w:pos="8080"/>
        </w:tabs>
        <w:spacing w:line="460" w:lineRule="exact"/>
        <w:ind w:right="748" w:firstLine="546" w:firstLineChars="195"/>
        <w:rPr>
          <w:rFonts w:asciiTheme="majorEastAsia" w:hAnsiTheme="majorEastAsia" w:eastAsiaTheme="majorEastAsia"/>
          <w:sz w:val="28"/>
          <w:szCs w:val="28"/>
        </w:rPr>
      </w:pPr>
    </w:p>
    <w:p>
      <w:pPr>
        <w:tabs>
          <w:tab w:val="left" w:pos="8080"/>
        </w:tabs>
        <w:spacing w:line="460" w:lineRule="exact"/>
        <w:ind w:right="748" w:firstLine="546" w:firstLineChars="195"/>
        <w:rPr>
          <w:rFonts w:asciiTheme="majorEastAsia" w:hAnsiTheme="majorEastAsia" w:eastAsiaTheme="majorEastAsia"/>
          <w:sz w:val="28"/>
          <w:szCs w:val="28"/>
        </w:rPr>
      </w:pPr>
    </w:p>
    <w:p>
      <w:pPr>
        <w:tabs>
          <w:tab w:val="left" w:pos="8080"/>
        </w:tabs>
        <w:spacing w:line="460" w:lineRule="exact"/>
        <w:ind w:right="748" w:firstLine="546" w:firstLineChars="195"/>
        <w:rPr>
          <w:rFonts w:asciiTheme="majorEastAsia" w:hAnsiTheme="majorEastAsia" w:eastAsiaTheme="majorEastAsia"/>
          <w:sz w:val="28"/>
          <w:szCs w:val="28"/>
        </w:rPr>
      </w:pPr>
    </w:p>
    <w:p>
      <w:pPr>
        <w:tabs>
          <w:tab w:val="left" w:pos="8080"/>
        </w:tabs>
        <w:spacing w:line="460" w:lineRule="exact"/>
        <w:ind w:right="748" w:firstLine="546" w:firstLineChars="195"/>
        <w:rPr>
          <w:rFonts w:asciiTheme="majorEastAsia" w:hAnsiTheme="majorEastAsia" w:eastAsiaTheme="majorEastAsia"/>
          <w:sz w:val="28"/>
          <w:szCs w:val="28"/>
        </w:rPr>
      </w:pPr>
    </w:p>
    <w:p>
      <w:pPr>
        <w:tabs>
          <w:tab w:val="left" w:pos="8080"/>
        </w:tabs>
        <w:spacing w:line="460" w:lineRule="exact"/>
        <w:ind w:right="748" w:firstLine="546" w:firstLineChars="195"/>
        <w:rPr>
          <w:rFonts w:asciiTheme="majorEastAsia" w:hAnsiTheme="majorEastAsia" w:eastAsiaTheme="majorEastAsia"/>
          <w:sz w:val="28"/>
          <w:szCs w:val="28"/>
        </w:rPr>
      </w:pPr>
    </w:p>
    <w:p>
      <w:pPr>
        <w:tabs>
          <w:tab w:val="left" w:pos="8080"/>
        </w:tabs>
        <w:spacing w:line="460" w:lineRule="exact"/>
        <w:ind w:right="748" w:firstLine="546" w:firstLineChars="195"/>
        <w:rPr>
          <w:rFonts w:asciiTheme="majorEastAsia" w:hAnsiTheme="majorEastAsia" w:eastAsiaTheme="majorEastAsia"/>
          <w:sz w:val="28"/>
          <w:szCs w:val="28"/>
        </w:rPr>
      </w:pPr>
    </w:p>
    <w:p>
      <w:pPr>
        <w:tabs>
          <w:tab w:val="left" w:pos="8080"/>
        </w:tabs>
        <w:spacing w:line="460" w:lineRule="exact"/>
        <w:ind w:right="748" w:firstLine="546" w:firstLineChars="195"/>
        <w:rPr>
          <w:rFonts w:asciiTheme="majorEastAsia" w:hAnsiTheme="majorEastAsia" w:eastAsiaTheme="majorEastAsia"/>
          <w:sz w:val="28"/>
          <w:szCs w:val="28"/>
        </w:rPr>
      </w:pPr>
    </w:p>
    <w:p>
      <w:pPr>
        <w:tabs>
          <w:tab w:val="left" w:pos="8080"/>
        </w:tabs>
        <w:spacing w:line="460" w:lineRule="exact"/>
        <w:ind w:right="748" w:firstLine="546" w:firstLineChars="195"/>
        <w:rPr>
          <w:rFonts w:asciiTheme="majorEastAsia" w:hAnsiTheme="majorEastAsia" w:eastAsiaTheme="majorEastAsia"/>
          <w:sz w:val="28"/>
          <w:szCs w:val="28"/>
        </w:rPr>
      </w:pPr>
    </w:p>
    <w:p>
      <w:pPr>
        <w:pStyle w:val="3"/>
        <w:spacing w:before="0" w:after="0" w:line="240" w:lineRule="auto"/>
        <w:jc w:val="center"/>
        <w:rPr>
          <w:rFonts w:asciiTheme="majorEastAsia" w:hAnsiTheme="majorEastAsia" w:eastAsiaTheme="majorEastAsia"/>
        </w:rPr>
      </w:pPr>
    </w:p>
    <w:p>
      <w:pPr>
        <w:pStyle w:val="3"/>
        <w:spacing w:before="0" w:after="0" w:line="240" w:lineRule="auto"/>
        <w:jc w:val="center"/>
        <w:rPr>
          <w:rFonts w:asciiTheme="majorEastAsia" w:hAnsiTheme="majorEastAsia" w:eastAsiaTheme="majorEastAsia"/>
        </w:rPr>
      </w:pPr>
    </w:p>
    <w:p>
      <w:pPr>
        <w:pStyle w:val="24"/>
        <w:spacing w:beforeLines="100" w:afterLines="100"/>
        <w:ind w:firstLine="562"/>
        <w:jc w:val="left"/>
        <w:rPr>
          <w:rFonts w:asciiTheme="majorEastAsia" w:hAnsiTheme="majorEastAsia" w:eastAsiaTheme="majorEastAsia"/>
          <w:b/>
          <w:sz w:val="28"/>
          <w:szCs w:val="28"/>
        </w:rPr>
      </w:pPr>
    </w:p>
    <w:p>
      <w:pPr>
        <w:pStyle w:val="66"/>
        <w:jc w:val="center"/>
        <w:rPr>
          <w:rFonts w:asciiTheme="majorEastAsia" w:hAnsiTheme="majorEastAsia" w:eastAsiaTheme="majorEastAsia"/>
          <w:bCs/>
          <w:sz w:val="36"/>
          <w:szCs w:val="36"/>
        </w:rPr>
      </w:pPr>
      <w:r>
        <w:rPr>
          <w:rFonts w:hint="eastAsia" w:asciiTheme="majorEastAsia" w:hAnsiTheme="majorEastAsia" w:eastAsiaTheme="majorEastAsia"/>
          <w:bCs/>
          <w:sz w:val="36"/>
          <w:szCs w:val="36"/>
        </w:rPr>
        <w:t>投标提示</w:t>
      </w:r>
    </w:p>
    <w:p>
      <w:pPr>
        <w:pStyle w:val="66"/>
        <w:rPr>
          <w:rFonts w:asciiTheme="majorEastAsia" w:hAnsiTheme="majorEastAsia" w:eastAsiaTheme="majorEastAsia"/>
          <w:bCs/>
          <w:szCs w:val="24"/>
        </w:rPr>
      </w:pPr>
    </w:p>
    <w:p>
      <w:pPr>
        <w:pStyle w:val="66"/>
        <w:spacing w:line="360" w:lineRule="auto"/>
        <w:rPr>
          <w:rFonts w:asciiTheme="majorEastAsia" w:hAnsiTheme="majorEastAsia" w:eastAsiaTheme="majorEastAsia"/>
          <w:bCs/>
          <w:szCs w:val="24"/>
        </w:rPr>
      </w:pPr>
    </w:p>
    <w:p>
      <w:pPr>
        <w:pStyle w:val="66"/>
        <w:spacing w:line="360" w:lineRule="auto"/>
        <w:ind w:firstLine="480" w:firstLineChars="200"/>
        <w:rPr>
          <w:rFonts w:asciiTheme="majorEastAsia" w:hAnsiTheme="majorEastAsia" w:eastAsiaTheme="majorEastAsia"/>
          <w:bCs/>
          <w:szCs w:val="24"/>
        </w:rPr>
      </w:pPr>
      <w:r>
        <w:rPr>
          <w:rFonts w:hint="eastAsia" w:asciiTheme="majorEastAsia" w:hAnsiTheme="majorEastAsia" w:eastAsiaTheme="majorEastAsia"/>
          <w:bCs/>
          <w:szCs w:val="24"/>
        </w:rPr>
        <w:t xml:space="preserve">依据临沂市公共资源交易中心《关于对政府采购部分项目招标采购环节进行全流程电子化试运行的通知》，本项目在其要求的试运行范围内，各响应人除按本磋商文件规定制作并提交纸制版响应文件外，还应按要求制作并上传电子响应文件，详细内容请见通知（网址 </w:t>
      </w:r>
    </w:p>
    <w:p>
      <w:pPr>
        <w:pStyle w:val="66"/>
        <w:spacing w:line="360" w:lineRule="auto"/>
        <w:rPr>
          <w:rFonts w:asciiTheme="majorEastAsia" w:hAnsiTheme="majorEastAsia" w:eastAsiaTheme="majorEastAsia"/>
          <w:bCs/>
          <w:szCs w:val="24"/>
        </w:rPr>
      </w:pPr>
      <w:r>
        <w:rPr>
          <w:rFonts w:hint="eastAsia" w:asciiTheme="majorEastAsia" w:hAnsiTheme="majorEastAsia" w:eastAsiaTheme="majorEastAsia"/>
          <w:bCs/>
          <w:szCs w:val="24"/>
        </w:rPr>
        <w:t>http://ggzyjy.linyi.gov.cn/TPFront/infodetail/?infoid=b9f3f10d-776e-49a2-a622-6cc77fd902c5&amp;categoryNum=048），试运行期间以纸质响应文件为准。</w:t>
      </w:r>
    </w:p>
    <w:p>
      <w:pPr>
        <w:pStyle w:val="3"/>
        <w:spacing w:before="0" w:after="0" w:line="240" w:lineRule="auto"/>
        <w:jc w:val="center"/>
        <w:rPr>
          <w:rFonts w:asciiTheme="majorEastAsia" w:hAnsiTheme="majorEastAsia" w:eastAsiaTheme="majorEastAsia"/>
        </w:rPr>
      </w:pPr>
    </w:p>
    <w:p>
      <w:pPr>
        <w:pStyle w:val="3"/>
        <w:spacing w:before="0" w:after="0" w:line="240" w:lineRule="auto"/>
        <w:jc w:val="center"/>
        <w:rPr>
          <w:rFonts w:asciiTheme="majorEastAsia" w:hAnsiTheme="majorEastAsia" w:eastAsiaTheme="majorEastAsia"/>
        </w:rPr>
      </w:pPr>
    </w:p>
    <w:p>
      <w:pPr>
        <w:pStyle w:val="3"/>
        <w:spacing w:before="0" w:after="0" w:line="240" w:lineRule="auto"/>
        <w:jc w:val="center"/>
        <w:rPr>
          <w:rFonts w:asciiTheme="majorEastAsia" w:hAnsiTheme="majorEastAsia" w:eastAsiaTheme="majorEastAsia"/>
        </w:rPr>
      </w:pPr>
    </w:p>
    <w:p>
      <w:pPr>
        <w:pStyle w:val="3"/>
        <w:spacing w:before="0" w:after="0" w:line="240" w:lineRule="auto"/>
        <w:jc w:val="center"/>
        <w:rPr>
          <w:rFonts w:asciiTheme="majorEastAsia" w:hAnsiTheme="majorEastAsia" w:eastAsiaTheme="majorEastAsia"/>
        </w:rPr>
      </w:pPr>
    </w:p>
    <w:p>
      <w:pPr>
        <w:pStyle w:val="3"/>
        <w:spacing w:before="0" w:after="0" w:line="240" w:lineRule="auto"/>
        <w:jc w:val="center"/>
        <w:rPr>
          <w:rFonts w:asciiTheme="majorEastAsia" w:hAnsiTheme="majorEastAsia" w:eastAsiaTheme="majorEastAsia"/>
        </w:rPr>
      </w:pPr>
    </w:p>
    <w:p>
      <w:pPr>
        <w:pStyle w:val="3"/>
        <w:spacing w:before="0" w:after="0" w:line="240" w:lineRule="auto"/>
        <w:jc w:val="center"/>
        <w:rPr>
          <w:rFonts w:asciiTheme="majorEastAsia" w:hAnsiTheme="majorEastAsia" w:eastAsiaTheme="majorEastAsia"/>
        </w:rPr>
      </w:pPr>
    </w:p>
    <w:p>
      <w:pPr>
        <w:pStyle w:val="3"/>
        <w:spacing w:before="0" w:after="0" w:line="240" w:lineRule="auto"/>
        <w:jc w:val="center"/>
        <w:rPr>
          <w:rFonts w:asciiTheme="majorEastAsia" w:hAnsiTheme="majorEastAsia" w:eastAsiaTheme="majorEastAsia"/>
        </w:rPr>
      </w:pPr>
    </w:p>
    <w:p>
      <w:pPr>
        <w:pStyle w:val="3"/>
        <w:spacing w:before="0" w:after="0" w:line="240" w:lineRule="auto"/>
        <w:jc w:val="center"/>
        <w:rPr>
          <w:rFonts w:asciiTheme="majorEastAsia" w:hAnsiTheme="majorEastAsia" w:eastAsiaTheme="majorEastAsia"/>
        </w:rPr>
      </w:pPr>
    </w:p>
    <w:p>
      <w:pPr>
        <w:rPr>
          <w:rFonts w:asciiTheme="majorEastAsia" w:hAnsiTheme="majorEastAsia" w:eastAsiaTheme="majorEastAsia"/>
        </w:rPr>
      </w:pPr>
    </w:p>
    <w:p>
      <w:pPr>
        <w:pStyle w:val="55"/>
        <w:rPr>
          <w:rFonts w:asciiTheme="majorEastAsia" w:hAnsiTheme="majorEastAsia" w:eastAsiaTheme="majorEastAsia"/>
        </w:rPr>
      </w:pPr>
    </w:p>
    <w:p>
      <w:pPr>
        <w:pStyle w:val="55"/>
        <w:rPr>
          <w:rFonts w:asciiTheme="majorEastAsia" w:hAnsiTheme="majorEastAsia" w:eastAsiaTheme="majorEastAsia"/>
        </w:rPr>
      </w:pPr>
    </w:p>
    <w:p>
      <w:pPr>
        <w:pStyle w:val="55"/>
        <w:rPr>
          <w:rFonts w:asciiTheme="majorEastAsia" w:hAnsiTheme="majorEastAsia" w:eastAsiaTheme="majorEastAsia"/>
        </w:rPr>
      </w:pPr>
    </w:p>
    <w:p>
      <w:pPr>
        <w:pStyle w:val="55"/>
        <w:rPr>
          <w:rFonts w:asciiTheme="majorEastAsia" w:hAnsiTheme="majorEastAsia" w:eastAsiaTheme="majorEastAsia"/>
        </w:rPr>
      </w:pPr>
    </w:p>
    <w:p>
      <w:pPr>
        <w:pStyle w:val="3"/>
        <w:spacing w:before="0" w:after="0" w:line="240" w:lineRule="auto"/>
        <w:jc w:val="center"/>
        <w:rPr>
          <w:rFonts w:asciiTheme="majorEastAsia" w:hAnsiTheme="majorEastAsia" w:eastAsiaTheme="majorEastAsia"/>
        </w:rPr>
      </w:pPr>
    </w:p>
    <w:p>
      <w:pPr>
        <w:pStyle w:val="3"/>
        <w:spacing w:before="0" w:after="0" w:line="240" w:lineRule="auto"/>
        <w:jc w:val="center"/>
        <w:rPr>
          <w:rFonts w:asciiTheme="majorEastAsia" w:hAnsiTheme="majorEastAsia" w:eastAsiaTheme="majorEastAsia"/>
        </w:rPr>
      </w:pPr>
      <w:r>
        <w:rPr>
          <w:rFonts w:hint="eastAsia" w:asciiTheme="majorEastAsia" w:hAnsiTheme="majorEastAsia" w:eastAsiaTheme="majorEastAsia"/>
        </w:rPr>
        <w:t>第一章  竞争性磋商公告</w:t>
      </w:r>
    </w:p>
    <w:p>
      <w:pPr>
        <w:widowControl/>
        <w:shd w:val="clear" w:color="auto" w:fill="FFFFFF"/>
        <w:spacing w:line="460" w:lineRule="exact"/>
        <w:rPr>
          <w:rFonts w:cs="宋体" w:asciiTheme="majorEastAsia" w:hAnsiTheme="majorEastAsia" w:eastAsiaTheme="majorEastAsia"/>
          <w:b/>
          <w:bCs/>
          <w:kern w:val="0"/>
          <w:sz w:val="28"/>
          <w:szCs w:val="28"/>
        </w:rPr>
      </w:pPr>
    </w:p>
    <w:p>
      <w:pPr>
        <w:widowControl/>
        <w:adjustRightInd w:val="0"/>
        <w:snapToGrid w:val="0"/>
        <w:spacing w:line="360" w:lineRule="auto"/>
        <w:jc w:val="left"/>
        <w:rPr>
          <w:rFonts w:cs="宋体" w:asciiTheme="majorEastAsia" w:hAnsiTheme="majorEastAsia" w:eastAsiaTheme="majorEastAsia"/>
          <w:sz w:val="24"/>
          <w:szCs w:val="24"/>
        </w:rPr>
      </w:pPr>
      <w:r>
        <w:rPr>
          <w:rFonts w:hint="eastAsia" w:asciiTheme="majorEastAsia" w:hAnsiTheme="majorEastAsia" w:eastAsiaTheme="majorEastAsia"/>
          <w:sz w:val="24"/>
          <w:szCs w:val="24"/>
        </w:rPr>
        <w:t>一、</w:t>
      </w:r>
      <w:r>
        <w:rPr>
          <w:rFonts w:hint="eastAsia" w:cs="宋体" w:asciiTheme="majorEastAsia" w:hAnsiTheme="majorEastAsia" w:eastAsiaTheme="majorEastAsia"/>
          <w:sz w:val="24"/>
          <w:szCs w:val="24"/>
        </w:rPr>
        <w:t>采购人：</w:t>
      </w:r>
      <w:r>
        <w:rPr>
          <w:rFonts w:hint="eastAsia" w:cs="宋体" w:asciiTheme="majorEastAsia" w:hAnsiTheme="majorEastAsia" w:eastAsiaTheme="majorEastAsia"/>
          <w:sz w:val="24"/>
          <w:szCs w:val="24"/>
          <w:lang w:eastAsia="zh-CN"/>
        </w:rPr>
        <w:t>临沂市妇幼保健院</w:t>
      </w:r>
      <w:r>
        <w:rPr>
          <w:rFonts w:hint="eastAsia" w:cs="宋体" w:asciiTheme="majorEastAsia" w:hAnsiTheme="majorEastAsia" w:eastAsiaTheme="majorEastAsia"/>
          <w:sz w:val="24"/>
          <w:szCs w:val="24"/>
        </w:rPr>
        <w:t xml:space="preserve">  地址：临沂市罗庄区清河南路1号。</w:t>
      </w:r>
    </w:p>
    <w:p>
      <w:pPr>
        <w:widowControl/>
        <w:adjustRightInd w:val="0"/>
        <w:snapToGrid w:val="0"/>
        <w:spacing w:line="360" w:lineRule="auto"/>
        <w:ind w:firstLine="480" w:firstLineChars="200"/>
        <w:jc w:val="left"/>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rPr>
        <w:t>联系人：</w:t>
      </w:r>
      <w:r>
        <w:rPr>
          <w:rFonts w:hint="eastAsia" w:cs="宋体" w:asciiTheme="majorEastAsia" w:hAnsiTheme="majorEastAsia" w:eastAsiaTheme="majorEastAsia"/>
          <w:sz w:val="24"/>
          <w:szCs w:val="24"/>
          <w:lang w:val="en-US" w:eastAsia="zh-CN"/>
        </w:rPr>
        <w:t>解科长 0539-3216192</w:t>
      </w:r>
    </w:p>
    <w:p>
      <w:pPr>
        <w:widowControl/>
        <w:adjustRightInd w:val="0"/>
        <w:snapToGrid w:val="0"/>
        <w:spacing w:line="360" w:lineRule="auto"/>
        <w:jc w:val="left"/>
        <w:rPr>
          <w:rFonts w:asciiTheme="majorEastAsia" w:hAnsiTheme="majorEastAsia" w:eastAsiaTheme="majorEastAsia"/>
          <w:b/>
          <w:kern w:val="0"/>
          <w:sz w:val="24"/>
          <w:szCs w:val="24"/>
          <w:lang w:val="zh-CN"/>
        </w:rPr>
      </w:pPr>
      <w:r>
        <w:rPr>
          <w:rFonts w:hint="eastAsia" w:cs="宋体" w:asciiTheme="majorEastAsia" w:hAnsiTheme="majorEastAsia" w:eastAsiaTheme="majorEastAsia"/>
          <w:sz w:val="24"/>
          <w:szCs w:val="24"/>
        </w:rPr>
        <w:t>  采购代理机构：</w:t>
      </w:r>
      <w:r>
        <w:rPr>
          <w:rFonts w:hint="eastAsia" w:asciiTheme="majorEastAsia" w:hAnsiTheme="majorEastAsia" w:eastAsiaTheme="majorEastAsia"/>
          <w:bCs/>
          <w:sz w:val="24"/>
          <w:szCs w:val="24"/>
        </w:rPr>
        <w:t>临沂鼎泰招标有限公司</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联系地址：临沂市北城新区天津路与汶河路交汇处向东路北。</w:t>
      </w:r>
    </w:p>
    <w:p>
      <w:pPr>
        <w:spacing w:line="360" w:lineRule="auto"/>
        <w:rPr>
          <w:rFonts w:hint="default"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rPr>
        <w:t>   联系方式：</w:t>
      </w:r>
      <w:r>
        <w:rPr>
          <w:rFonts w:hint="eastAsia" w:cs="宋体" w:asciiTheme="majorEastAsia" w:hAnsiTheme="majorEastAsia" w:eastAsiaTheme="majorEastAsia"/>
          <w:sz w:val="24"/>
          <w:szCs w:val="24"/>
          <w:lang w:val="en-US" w:eastAsia="zh-CN"/>
        </w:rPr>
        <w:t>韩雨霏 18953977053</w:t>
      </w:r>
    </w:p>
    <w:p>
      <w:pPr>
        <w:numPr>
          <w:ilvl w:val="0"/>
          <w:numId w:val="1"/>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采购项目名称：</w:t>
      </w:r>
      <w:r>
        <w:rPr>
          <w:rFonts w:hint="eastAsia" w:asciiTheme="majorEastAsia" w:hAnsiTheme="majorEastAsia" w:eastAsiaTheme="majorEastAsia"/>
          <w:sz w:val="24"/>
          <w:szCs w:val="24"/>
          <w:lang w:eastAsia="zh-CN"/>
        </w:rPr>
        <w:t>临沂市妇幼保健院院内指示导引系统项目</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采购项目编号（采购计划编号）：SDGP371300201902001005 </w:t>
      </w:r>
    </w:p>
    <w:p>
      <w:pPr>
        <w:spacing w:line="360" w:lineRule="auto"/>
        <w:ind w:firstLine="465"/>
        <w:rPr>
          <w:rFonts w:asciiTheme="majorEastAsia" w:hAnsiTheme="majorEastAsia" w:eastAsiaTheme="majorEastAsia"/>
          <w:sz w:val="24"/>
          <w:szCs w:val="24"/>
        </w:rPr>
      </w:pPr>
      <w:r>
        <w:rPr>
          <w:rFonts w:hint="eastAsia" w:asciiTheme="majorEastAsia" w:hAnsiTheme="majorEastAsia" w:eastAsiaTheme="majorEastAsia"/>
          <w:sz w:val="24"/>
          <w:szCs w:val="24"/>
        </w:rPr>
        <w:t>采购项目分包情况：</w:t>
      </w:r>
    </w:p>
    <w:tbl>
      <w:tblPr>
        <w:tblStyle w:val="56"/>
        <w:tblW w:w="939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55"/>
        <w:gridCol w:w="1104"/>
        <w:gridCol w:w="641"/>
        <w:gridCol w:w="5298"/>
        <w:gridCol w:w="16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9" w:hRule="atLeast"/>
          <w:jc w:val="center"/>
        </w:trPr>
        <w:tc>
          <w:tcPr>
            <w:tcW w:w="65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50"/>
              <w:jc w:val="center"/>
              <w:rPr>
                <w:rFonts w:cs="宋体" w:asciiTheme="majorEastAsia" w:hAnsiTheme="majorEastAsia" w:eastAsiaTheme="majorEastAsia"/>
                <w:szCs w:val="24"/>
              </w:rPr>
            </w:pPr>
            <w:r>
              <w:rPr>
                <w:rFonts w:hint="eastAsia" w:cs="宋体" w:asciiTheme="majorEastAsia" w:hAnsiTheme="majorEastAsia" w:eastAsiaTheme="majorEastAsia"/>
                <w:szCs w:val="24"/>
              </w:rPr>
              <w:t>标包</w:t>
            </w:r>
          </w:p>
        </w:tc>
        <w:tc>
          <w:tcPr>
            <w:tcW w:w="11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50"/>
              <w:jc w:val="center"/>
              <w:rPr>
                <w:rFonts w:cs="宋体" w:asciiTheme="majorEastAsia" w:hAnsiTheme="majorEastAsia" w:eastAsiaTheme="majorEastAsia"/>
                <w:szCs w:val="24"/>
              </w:rPr>
            </w:pPr>
            <w:r>
              <w:rPr>
                <w:rFonts w:hint="eastAsia" w:cs="宋体" w:asciiTheme="majorEastAsia" w:hAnsiTheme="majorEastAsia" w:eastAsiaTheme="majorEastAsia"/>
                <w:szCs w:val="24"/>
              </w:rPr>
              <w:t>货物服务名称</w:t>
            </w:r>
          </w:p>
        </w:tc>
        <w:tc>
          <w:tcPr>
            <w:tcW w:w="64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50"/>
              <w:jc w:val="center"/>
              <w:rPr>
                <w:rFonts w:cs="宋体" w:asciiTheme="majorEastAsia" w:hAnsiTheme="majorEastAsia" w:eastAsiaTheme="majorEastAsia"/>
                <w:szCs w:val="24"/>
              </w:rPr>
            </w:pPr>
            <w:r>
              <w:rPr>
                <w:rFonts w:hint="eastAsia" w:cs="宋体" w:asciiTheme="majorEastAsia" w:hAnsiTheme="majorEastAsia" w:eastAsiaTheme="majorEastAsia"/>
                <w:szCs w:val="24"/>
              </w:rPr>
              <w:t>数量</w:t>
            </w:r>
          </w:p>
        </w:tc>
        <w:tc>
          <w:tcPr>
            <w:tcW w:w="529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50"/>
              <w:jc w:val="center"/>
              <w:rPr>
                <w:rFonts w:cs="宋体" w:asciiTheme="majorEastAsia" w:hAnsiTheme="majorEastAsia" w:eastAsiaTheme="majorEastAsia"/>
                <w:szCs w:val="24"/>
              </w:rPr>
            </w:pPr>
            <w:r>
              <w:rPr>
                <w:rFonts w:hint="eastAsia" w:cs="宋体" w:asciiTheme="majorEastAsia" w:hAnsiTheme="majorEastAsia" w:eastAsiaTheme="majorEastAsia"/>
                <w:szCs w:val="24"/>
              </w:rPr>
              <w:t>供应商资格要求</w:t>
            </w:r>
          </w:p>
        </w:tc>
        <w:tc>
          <w:tcPr>
            <w:tcW w:w="16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50"/>
              <w:jc w:val="center"/>
              <w:rPr>
                <w:rFonts w:cs="宋体" w:asciiTheme="majorEastAsia" w:hAnsiTheme="majorEastAsia" w:eastAsiaTheme="majorEastAsia"/>
                <w:szCs w:val="24"/>
              </w:rPr>
            </w:pPr>
            <w:r>
              <w:rPr>
                <w:rFonts w:hint="eastAsia" w:cs="宋体" w:asciiTheme="majorEastAsia" w:hAnsiTheme="majorEastAsia" w:eastAsiaTheme="majorEastAsia"/>
                <w:szCs w:val="24"/>
              </w:rPr>
              <w:t>本包预算金额（最高限价，单位：万元）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0" w:hRule="atLeast"/>
          <w:jc w:val="center"/>
        </w:trPr>
        <w:tc>
          <w:tcPr>
            <w:tcW w:w="65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50"/>
              <w:jc w:val="center"/>
              <w:rPr>
                <w:rFonts w:cs="宋体" w:asciiTheme="majorEastAsia" w:hAnsiTheme="majorEastAsia" w:eastAsiaTheme="majorEastAsia"/>
                <w:szCs w:val="24"/>
              </w:rPr>
            </w:pPr>
            <w:r>
              <w:rPr>
                <w:rFonts w:hint="eastAsia" w:cs="宋体" w:asciiTheme="majorEastAsia" w:hAnsiTheme="majorEastAsia" w:eastAsiaTheme="majorEastAsia"/>
                <w:szCs w:val="24"/>
              </w:rPr>
              <w:t>A</w:t>
            </w:r>
          </w:p>
        </w:tc>
        <w:tc>
          <w:tcPr>
            <w:tcW w:w="11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50"/>
              <w:jc w:val="center"/>
              <w:rPr>
                <w:rFonts w:cs="宋体" w:asciiTheme="majorEastAsia" w:hAnsiTheme="majorEastAsia" w:eastAsiaTheme="majorEastAsia"/>
                <w:color w:val="000000" w:themeColor="text1"/>
                <w:szCs w:val="24"/>
              </w:rPr>
            </w:pPr>
            <w:r>
              <w:rPr>
                <w:rFonts w:hint="eastAsia" w:cs="宋体" w:asciiTheme="majorEastAsia" w:hAnsiTheme="majorEastAsia" w:eastAsiaTheme="majorEastAsia"/>
                <w:color w:val="000000" w:themeColor="text1"/>
                <w:szCs w:val="24"/>
              </w:rPr>
              <w:t xml:space="preserve">临沂市妇幼保健院院内指示导引系统项目 </w:t>
            </w:r>
          </w:p>
        </w:tc>
        <w:tc>
          <w:tcPr>
            <w:tcW w:w="64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50"/>
              <w:jc w:val="center"/>
              <w:rPr>
                <w:rFonts w:cs="宋体" w:asciiTheme="majorEastAsia" w:hAnsiTheme="majorEastAsia" w:eastAsiaTheme="majorEastAsia"/>
                <w:color w:val="000000" w:themeColor="text1"/>
                <w:szCs w:val="24"/>
              </w:rPr>
            </w:pPr>
            <w:r>
              <w:rPr>
                <w:rFonts w:hint="eastAsia" w:cs="宋体" w:asciiTheme="majorEastAsia" w:hAnsiTheme="majorEastAsia" w:eastAsiaTheme="majorEastAsia"/>
                <w:color w:val="000000" w:themeColor="text1"/>
                <w:szCs w:val="24"/>
              </w:rPr>
              <w:t>1宗</w:t>
            </w:r>
          </w:p>
        </w:tc>
        <w:tc>
          <w:tcPr>
            <w:tcW w:w="529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numPr>
                <w:ilvl w:val="0"/>
                <w:numId w:val="0"/>
              </w:numPr>
              <w:spacing w:line="480" w:lineRule="exact"/>
              <w:rPr>
                <w:rFonts w:cs="宋体" w:asciiTheme="majorEastAsia" w:hAnsiTheme="majorEastAsia" w:eastAsiaTheme="majorEastAsia"/>
                <w:bCs/>
                <w:color w:val="000000" w:themeColor="text1"/>
                <w:sz w:val="24"/>
                <w:szCs w:val="24"/>
              </w:rPr>
            </w:pPr>
            <w:r>
              <w:rPr>
                <w:rFonts w:hint="eastAsia" w:cs="宋体" w:asciiTheme="majorEastAsia" w:hAnsiTheme="majorEastAsia" w:eastAsiaTheme="majorEastAsia"/>
                <w:bCs/>
                <w:color w:val="000000" w:themeColor="text1"/>
                <w:sz w:val="24"/>
                <w:szCs w:val="24"/>
                <w:lang w:val="en-US" w:eastAsia="zh-CN"/>
              </w:rPr>
              <w:t>1、</w:t>
            </w:r>
            <w:r>
              <w:rPr>
                <w:rFonts w:hint="eastAsia" w:cs="宋体" w:asciiTheme="majorEastAsia" w:hAnsiTheme="majorEastAsia" w:eastAsiaTheme="majorEastAsia"/>
                <w:bCs/>
                <w:color w:val="000000" w:themeColor="text1"/>
                <w:sz w:val="24"/>
                <w:szCs w:val="24"/>
              </w:rPr>
              <w:t>符合《中华人民共和国政府采购法》第二十二条规定；2、在中国境内注册，具有独立承担民事责任能力的单位或其他组织</w:t>
            </w:r>
            <w:r>
              <w:rPr>
                <w:rFonts w:hint="eastAsia" w:cs="宋体" w:asciiTheme="majorEastAsia" w:hAnsiTheme="majorEastAsia" w:eastAsiaTheme="majorEastAsia"/>
                <w:bCs/>
                <w:color w:val="000000" w:themeColor="text1"/>
                <w:sz w:val="24"/>
                <w:szCs w:val="24"/>
                <w:lang w:eastAsia="zh-CN"/>
              </w:rPr>
              <w:t>，</w:t>
            </w:r>
            <w:r>
              <w:rPr>
                <w:rFonts w:hint="eastAsia" w:cs="宋体" w:asciiTheme="majorEastAsia" w:hAnsiTheme="majorEastAsia" w:eastAsiaTheme="majorEastAsia"/>
                <w:bCs/>
                <w:color w:val="000000" w:themeColor="text1"/>
                <w:sz w:val="24"/>
                <w:szCs w:val="24"/>
              </w:rPr>
              <w:t>具备相应的供货能力及完善的售后服务体系；3、本项目不接受联合体报价，不得分包转包；4、法律法规及磋商文件规定的其他要求。</w:t>
            </w:r>
          </w:p>
        </w:tc>
        <w:tc>
          <w:tcPr>
            <w:tcW w:w="169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50"/>
              <w:jc w:val="center"/>
              <w:rPr>
                <w:rFonts w:cs="宋体" w:asciiTheme="majorEastAsia" w:hAnsiTheme="majorEastAsia" w:eastAsiaTheme="majorEastAsia"/>
                <w:szCs w:val="24"/>
              </w:rPr>
            </w:pPr>
            <w:r>
              <w:rPr>
                <w:rFonts w:hint="eastAsia" w:cs="宋体" w:asciiTheme="majorEastAsia" w:hAnsiTheme="majorEastAsia" w:eastAsiaTheme="majorEastAsia"/>
                <w:szCs w:val="24"/>
                <w:lang w:val="en-US" w:eastAsia="zh-CN"/>
              </w:rPr>
              <w:t>65</w:t>
            </w:r>
            <w:r>
              <w:rPr>
                <w:rFonts w:hint="eastAsia" w:cs="宋体" w:asciiTheme="majorEastAsia" w:hAnsiTheme="majorEastAsia" w:eastAsiaTheme="majorEastAsia"/>
                <w:szCs w:val="24"/>
              </w:rPr>
              <w:t>万元</w:t>
            </w:r>
          </w:p>
        </w:tc>
      </w:tr>
    </w:tbl>
    <w:p>
      <w:pPr>
        <w:rPr>
          <w:rFonts w:asciiTheme="majorEastAsia" w:hAnsiTheme="majorEastAsia" w:eastAsiaTheme="majorEastAsia"/>
        </w:rPr>
      </w:pPr>
      <w:r>
        <w:rPr>
          <w:rFonts w:hint="eastAsia" w:asciiTheme="majorEastAsia" w:hAnsiTheme="majorEastAsia" w:eastAsiaTheme="majorEastAsia"/>
        </w:rPr>
        <w:t xml:space="preserve"> </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三、获取磋商文件 </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1、时间：20</w:t>
      </w:r>
      <w:r>
        <w:rPr>
          <w:rFonts w:hint="eastAsia" w:asciiTheme="majorEastAsia" w:hAnsiTheme="majorEastAsia" w:eastAsiaTheme="majorEastAsia"/>
          <w:sz w:val="24"/>
          <w:szCs w:val="24"/>
          <w:lang w:val="en-US" w:eastAsia="zh-CN"/>
        </w:rPr>
        <w:t>20</w:t>
      </w:r>
      <w:r>
        <w:rPr>
          <w:rFonts w:hint="eastAsia" w:asciiTheme="majorEastAsia" w:hAnsiTheme="majorEastAsia" w:eastAsiaTheme="majorEastAsia"/>
          <w:sz w:val="24"/>
          <w:szCs w:val="24"/>
        </w:rPr>
        <w:t>年</w:t>
      </w: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rPr>
        <w:t>日8时30分至20</w:t>
      </w:r>
      <w:r>
        <w:rPr>
          <w:rFonts w:hint="eastAsia" w:asciiTheme="majorEastAsia" w:hAnsiTheme="majorEastAsia" w:eastAsiaTheme="majorEastAsia"/>
          <w:sz w:val="24"/>
          <w:szCs w:val="24"/>
          <w:lang w:val="en-US" w:eastAsia="zh-CN"/>
        </w:rPr>
        <w:t>20</w:t>
      </w:r>
      <w:r>
        <w:rPr>
          <w:rFonts w:hint="eastAsia" w:asciiTheme="majorEastAsia" w:hAnsiTheme="majorEastAsia" w:eastAsiaTheme="majorEastAsia"/>
          <w:sz w:val="24"/>
          <w:szCs w:val="24"/>
        </w:rPr>
        <w:t>年1月</w:t>
      </w:r>
      <w:r>
        <w:rPr>
          <w:rFonts w:hint="eastAsia" w:asciiTheme="majorEastAsia" w:hAnsiTheme="majorEastAsia" w:eastAsiaTheme="majorEastAsia"/>
          <w:sz w:val="24"/>
          <w:szCs w:val="24"/>
          <w:lang w:val="en-US" w:eastAsia="zh-CN"/>
        </w:rPr>
        <w:t>14</w:t>
      </w:r>
      <w:r>
        <w:rPr>
          <w:rFonts w:hint="eastAsia" w:asciiTheme="majorEastAsia" w:hAnsiTheme="majorEastAsia" w:eastAsiaTheme="majorEastAsia"/>
          <w:sz w:val="24"/>
          <w:szCs w:val="24"/>
        </w:rPr>
        <w:t>日17时0分（报名截止时间）（北京时间，法定节假日除外）。</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2、地点：供应商登录临沂市公共资源交易网（</w:t>
      </w:r>
      <w:r>
        <w:fldChar w:fldCharType="begin"/>
      </w:r>
      <w:r>
        <w:instrText xml:space="preserve"> HYPERLINK "http://ggzyjy.linyi.gov.cn" </w:instrText>
      </w:r>
      <w:r>
        <w:fldChar w:fldCharType="separate"/>
      </w:r>
      <w:r>
        <w:rPr>
          <w:rStyle w:val="63"/>
          <w:rFonts w:asciiTheme="majorEastAsia" w:hAnsiTheme="majorEastAsia" w:eastAsiaTheme="majorEastAsia"/>
          <w:sz w:val="24"/>
          <w:szCs w:val="24"/>
        </w:rPr>
        <w:t>http://ggzyjy.linyi.gov.cn</w:t>
      </w:r>
      <w:r>
        <w:rPr>
          <w:rStyle w:val="63"/>
          <w:rFonts w:asciiTheme="majorEastAsia" w:hAnsiTheme="majorEastAsia" w:eastAsiaTheme="majorEastAsia"/>
          <w:sz w:val="24"/>
          <w:szCs w:val="24"/>
        </w:rPr>
        <w:fldChar w:fldCharType="end"/>
      </w:r>
      <w:r>
        <w:rPr>
          <w:rFonts w:hint="eastAsia" w:asciiTheme="majorEastAsia" w:hAnsiTheme="majorEastAsia" w:eastAsiaTheme="majorEastAsia"/>
          <w:color w:val="000000" w:themeColor="text1"/>
          <w:sz w:val="24"/>
          <w:szCs w:val="24"/>
        </w:rPr>
        <w:t>）</w:t>
      </w:r>
      <w:r>
        <w:rPr>
          <w:rFonts w:asciiTheme="majorEastAsia" w:hAnsiTheme="majorEastAsia" w:eastAsiaTheme="majorEastAsia"/>
          <w:color w:val="000000" w:themeColor="text1"/>
          <w:sz w:val="24"/>
          <w:szCs w:val="24"/>
        </w:rPr>
        <w:t>凭企业数字证书</w:t>
      </w:r>
      <w:r>
        <w:rPr>
          <w:rFonts w:hint="eastAsia" w:asciiTheme="majorEastAsia" w:hAnsiTheme="majorEastAsia" w:eastAsiaTheme="majorEastAsia"/>
          <w:color w:val="000000" w:themeColor="text1"/>
          <w:sz w:val="24"/>
          <w:szCs w:val="24"/>
        </w:rPr>
        <w:t>（CA）身份认证秘钥下载磋商文件（格式为</w:t>
      </w:r>
      <w:r>
        <w:rPr>
          <w:rFonts w:hint="eastAsia" w:cs="宋体" w:asciiTheme="majorEastAsia" w:hAnsiTheme="majorEastAsia" w:eastAsiaTheme="majorEastAsia"/>
          <w:sz w:val="24"/>
          <w:szCs w:val="24"/>
        </w:rPr>
        <w:t>格式为.LYTF</w:t>
      </w:r>
      <w:r>
        <w:rPr>
          <w:rFonts w:hint="eastAsia" w:asciiTheme="majorEastAsia" w:hAnsiTheme="majorEastAsia" w:eastAsiaTheme="majorEastAsia"/>
          <w:color w:val="000000" w:themeColor="text1"/>
          <w:sz w:val="24"/>
          <w:szCs w:val="24"/>
        </w:rPr>
        <w:t>），此为电子化投标的必备流程。</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3、方式：自行下载，凡有意参加本次政府采购的供应商须在中国山东政府采购网进行注册备案报名，企业未领取临沂市公共资源交易网企业数字证书（CA）的，到临沂市公共资源交易中心五楼CA窗口办理。</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四、公告期限：20</w:t>
      </w:r>
      <w:r>
        <w:rPr>
          <w:rFonts w:hint="eastAsia" w:asciiTheme="majorEastAsia" w:hAnsiTheme="majorEastAsia" w:eastAsiaTheme="majorEastAsia"/>
          <w:color w:val="000000" w:themeColor="text1"/>
          <w:sz w:val="24"/>
          <w:szCs w:val="24"/>
          <w:lang w:val="en-US" w:eastAsia="zh-CN"/>
        </w:rPr>
        <w:t>20</w:t>
      </w:r>
      <w:r>
        <w:rPr>
          <w:rFonts w:hint="eastAsia" w:asciiTheme="majorEastAsia" w:hAnsiTheme="majorEastAsia" w:eastAsiaTheme="majorEastAsia"/>
          <w:color w:val="000000" w:themeColor="text1"/>
          <w:sz w:val="24"/>
          <w:szCs w:val="24"/>
        </w:rPr>
        <w:t>年1月</w:t>
      </w:r>
      <w:r>
        <w:rPr>
          <w:rFonts w:hint="eastAsia" w:asciiTheme="majorEastAsia" w:hAnsiTheme="majorEastAsia" w:eastAsiaTheme="majorEastAsia"/>
          <w:color w:val="000000" w:themeColor="text1"/>
          <w:sz w:val="24"/>
          <w:szCs w:val="24"/>
          <w:lang w:val="en-US" w:eastAsia="zh-CN"/>
        </w:rPr>
        <w:t>8</w:t>
      </w:r>
      <w:r>
        <w:rPr>
          <w:rFonts w:hint="eastAsia" w:asciiTheme="majorEastAsia" w:hAnsiTheme="majorEastAsia" w:eastAsiaTheme="majorEastAsia"/>
          <w:color w:val="000000" w:themeColor="text1"/>
          <w:sz w:val="24"/>
          <w:szCs w:val="24"/>
        </w:rPr>
        <w:t>日 至 20</w:t>
      </w:r>
      <w:r>
        <w:rPr>
          <w:rFonts w:hint="eastAsia" w:asciiTheme="majorEastAsia" w:hAnsiTheme="majorEastAsia" w:eastAsiaTheme="majorEastAsia"/>
          <w:color w:val="000000" w:themeColor="text1"/>
          <w:sz w:val="24"/>
          <w:szCs w:val="24"/>
          <w:lang w:val="en-US" w:eastAsia="zh-CN"/>
        </w:rPr>
        <w:t>20</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1</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10</w:t>
      </w:r>
      <w:r>
        <w:rPr>
          <w:rFonts w:hint="eastAsia" w:asciiTheme="majorEastAsia" w:hAnsiTheme="majorEastAsia" w:eastAsiaTheme="majorEastAsia"/>
          <w:color w:val="000000" w:themeColor="text1"/>
          <w:sz w:val="24"/>
          <w:szCs w:val="24"/>
        </w:rPr>
        <w:t xml:space="preserve">日 </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五、递交响应文件时间及地点 </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1、时间：20</w:t>
      </w:r>
      <w:r>
        <w:rPr>
          <w:rFonts w:hint="eastAsia" w:asciiTheme="majorEastAsia" w:hAnsiTheme="majorEastAsia" w:eastAsiaTheme="majorEastAsia"/>
          <w:color w:val="000000" w:themeColor="text1"/>
          <w:sz w:val="24"/>
          <w:szCs w:val="24"/>
          <w:lang w:val="en-US" w:eastAsia="zh-CN"/>
        </w:rPr>
        <w:t>20</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1</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19</w:t>
      </w:r>
      <w:r>
        <w:rPr>
          <w:rFonts w:hint="eastAsia" w:asciiTheme="majorEastAsia" w:hAnsiTheme="majorEastAsia" w:eastAsiaTheme="majorEastAsia"/>
          <w:color w:val="000000" w:themeColor="text1"/>
          <w:sz w:val="24"/>
          <w:szCs w:val="24"/>
        </w:rPr>
        <w:t>日</w:t>
      </w:r>
      <w:r>
        <w:rPr>
          <w:rFonts w:hint="eastAsia" w:asciiTheme="majorEastAsia" w:hAnsiTheme="majorEastAsia" w:eastAsiaTheme="majorEastAsia"/>
          <w:color w:val="000000" w:themeColor="text1"/>
          <w:sz w:val="24"/>
          <w:szCs w:val="24"/>
          <w:lang w:val="en-US" w:eastAsia="zh-CN"/>
        </w:rPr>
        <w:t>08</w:t>
      </w:r>
      <w:r>
        <w:rPr>
          <w:rFonts w:hint="eastAsia" w:asciiTheme="majorEastAsia" w:hAnsiTheme="majorEastAsia" w:eastAsiaTheme="majorEastAsia"/>
          <w:color w:val="000000" w:themeColor="text1"/>
          <w:sz w:val="24"/>
          <w:szCs w:val="24"/>
        </w:rPr>
        <w:t>时30分至20</w:t>
      </w:r>
      <w:r>
        <w:rPr>
          <w:rFonts w:hint="eastAsia" w:asciiTheme="majorEastAsia" w:hAnsiTheme="majorEastAsia" w:eastAsiaTheme="majorEastAsia"/>
          <w:color w:val="000000" w:themeColor="text1"/>
          <w:sz w:val="24"/>
          <w:szCs w:val="24"/>
          <w:lang w:val="en-US" w:eastAsia="zh-CN"/>
        </w:rPr>
        <w:t>20</w:t>
      </w:r>
      <w:r>
        <w:rPr>
          <w:rFonts w:hint="eastAsia" w:asciiTheme="majorEastAsia" w:hAnsiTheme="majorEastAsia" w:eastAsiaTheme="majorEastAsia"/>
          <w:color w:val="000000" w:themeColor="text1"/>
          <w:sz w:val="24"/>
          <w:szCs w:val="24"/>
        </w:rPr>
        <w:t xml:space="preserve">年 </w:t>
      </w:r>
      <w:r>
        <w:rPr>
          <w:rFonts w:hint="eastAsia" w:asciiTheme="majorEastAsia" w:hAnsiTheme="majorEastAsia" w:eastAsiaTheme="majorEastAsia"/>
          <w:color w:val="000000" w:themeColor="text1"/>
          <w:sz w:val="24"/>
          <w:szCs w:val="24"/>
          <w:lang w:val="en-US" w:eastAsia="zh-CN"/>
        </w:rPr>
        <w:t>1</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19</w:t>
      </w:r>
      <w:r>
        <w:rPr>
          <w:rFonts w:hint="eastAsia" w:asciiTheme="majorEastAsia" w:hAnsiTheme="majorEastAsia" w:eastAsiaTheme="majorEastAsia"/>
          <w:color w:val="000000" w:themeColor="text1"/>
          <w:sz w:val="24"/>
          <w:szCs w:val="24"/>
        </w:rPr>
        <w:t>日</w:t>
      </w:r>
      <w:r>
        <w:rPr>
          <w:rFonts w:hint="eastAsia" w:asciiTheme="majorEastAsia" w:hAnsiTheme="majorEastAsia" w:eastAsiaTheme="majorEastAsia"/>
          <w:color w:val="000000" w:themeColor="text1"/>
          <w:sz w:val="24"/>
          <w:szCs w:val="24"/>
          <w:lang w:val="en-US" w:eastAsia="zh-CN"/>
        </w:rPr>
        <w:t>09</w:t>
      </w:r>
      <w:r>
        <w:rPr>
          <w:rFonts w:hint="eastAsia" w:asciiTheme="majorEastAsia" w:hAnsiTheme="majorEastAsia" w:eastAsiaTheme="majorEastAsia"/>
          <w:color w:val="000000" w:themeColor="text1"/>
          <w:sz w:val="24"/>
          <w:szCs w:val="24"/>
        </w:rPr>
        <w:t xml:space="preserve">时00分（北京时间） </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2、地点：临沂市公共资源交易中心五楼开标室。</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六、磋商时间及地点： </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1、时间：2020年 1月</w:t>
      </w:r>
      <w:r>
        <w:rPr>
          <w:rFonts w:hint="eastAsia" w:asciiTheme="majorEastAsia" w:hAnsiTheme="majorEastAsia" w:eastAsiaTheme="majorEastAsia"/>
          <w:color w:val="000000" w:themeColor="text1"/>
          <w:sz w:val="24"/>
          <w:szCs w:val="24"/>
          <w:lang w:val="en-US" w:eastAsia="zh-CN"/>
        </w:rPr>
        <w:t>19</w:t>
      </w:r>
      <w:r>
        <w:rPr>
          <w:rFonts w:hint="eastAsia" w:asciiTheme="majorEastAsia" w:hAnsiTheme="majorEastAsia" w:eastAsiaTheme="majorEastAsia"/>
          <w:color w:val="000000" w:themeColor="text1"/>
          <w:sz w:val="24"/>
          <w:szCs w:val="24"/>
        </w:rPr>
        <w:t xml:space="preserve">日09时00分北京时间） </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2、地点：临沂市公共资源交易中心五楼开标室。</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七、采购项目联系方式： </w:t>
      </w:r>
    </w:p>
    <w:p>
      <w:pPr>
        <w:spacing w:line="360" w:lineRule="auto"/>
        <w:ind w:firstLine="480"/>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联系人：</w:t>
      </w:r>
      <w:r>
        <w:rPr>
          <w:rFonts w:hint="eastAsia" w:asciiTheme="majorEastAsia" w:hAnsiTheme="majorEastAsia" w:eastAsiaTheme="majorEastAsia"/>
          <w:sz w:val="24"/>
          <w:szCs w:val="24"/>
          <w:lang w:val="en-US" w:eastAsia="zh-CN"/>
        </w:rPr>
        <w:t>韩雨霏</w:t>
      </w:r>
      <w:r>
        <w:rPr>
          <w:rFonts w:hint="eastAsia" w:asciiTheme="majorEastAsia" w:hAnsiTheme="majorEastAsia" w:eastAsiaTheme="majorEastAsia"/>
          <w:sz w:val="24"/>
          <w:szCs w:val="24"/>
        </w:rPr>
        <w:t xml:space="preserve">         联系方式：1895397</w:t>
      </w:r>
      <w:r>
        <w:rPr>
          <w:rFonts w:hint="eastAsia" w:asciiTheme="majorEastAsia" w:hAnsiTheme="majorEastAsia" w:eastAsiaTheme="majorEastAsia"/>
          <w:sz w:val="24"/>
          <w:szCs w:val="24"/>
          <w:lang w:val="en-US" w:eastAsia="zh-CN"/>
        </w:rPr>
        <w:t>7053</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八、采购项目的用途、数量、简要技术要求等</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具体详见磋商文件 </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九、采购项目需要落实的政府采购政策</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鼓励节能政策、环保政策、中小企业政策、监狱企业政策、残疾人福利性企业政策，具体详见磋商文件。</w:t>
      </w:r>
    </w:p>
    <w:p>
      <w:pPr>
        <w:rPr>
          <w:rFonts w:asciiTheme="majorEastAsia" w:hAnsiTheme="majorEastAsia" w:eastAsiaTheme="majorEastAsia"/>
        </w:rPr>
      </w:pPr>
    </w:p>
    <w:p>
      <w:pPr>
        <w:spacing w:line="480" w:lineRule="exact"/>
        <w:rPr>
          <w:rFonts w:cs="宋体" w:asciiTheme="majorEastAsia" w:hAnsiTheme="majorEastAsia" w:eastAsiaTheme="majorEastAsia"/>
          <w:sz w:val="24"/>
          <w:szCs w:val="24"/>
        </w:rPr>
      </w:pPr>
    </w:p>
    <w:p>
      <w:pPr>
        <w:widowControl/>
        <w:shd w:val="clear" w:color="auto" w:fill="FFFFFF"/>
        <w:spacing w:line="360" w:lineRule="exact"/>
        <w:jc w:val="left"/>
        <w:rPr>
          <w:rFonts w:asciiTheme="majorEastAsia" w:hAnsiTheme="majorEastAsia" w:eastAsiaTheme="majorEastAsia"/>
          <w:shd w:val="clear" w:color="auto" w:fill="FFFFFF"/>
        </w:rPr>
      </w:pPr>
    </w:p>
    <w:p>
      <w:pPr>
        <w:pStyle w:val="55"/>
        <w:rPr>
          <w:rFonts w:asciiTheme="majorEastAsia" w:hAnsiTheme="majorEastAsia" w:eastAsiaTheme="majorEastAsia"/>
          <w:shd w:val="clear" w:color="auto" w:fill="FFFFFF"/>
        </w:rPr>
      </w:pPr>
    </w:p>
    <w:p>
      <w:pPr>
        <w:pStyle w:val="55"/>
        <w:rPr>
          <w:rFonts w:asciiTheme="majorEastAsia" w:hAnsiTheme="majorEastAsia" w:eastAsiaTheme="majorEastAsia"/>
          <w:shd w:val="clear" w:color="auto" w:fill="FFFFFF"/>
        </w:rPr>
      </w:pPr>
    </w:p>
    <w:p>
      <w:pPr>
        <w:pStyle w:val="55"/>
        <w:rPr>
          <w:rFonts w:asciiTheme="majorEastAsia" w:hAnsiTheme="majorEastAsia" w:eastAsiaTheme="majorEastAsia"/>
          <w:shd w:val="clear" w:color="auto" w:fill="FFFFFF"/>
        </w:rPr>
      </w:pPr>
    </w:p>
    <w:p>
      <w:pPr>
        <w:pStyle w:val="55"/>
        <w:rPr>
          <w:rFonts w:asciiTheme="majorEastAsia" w:hAnsiTheme="majorEastAsia" w:eastAsiaTheme="majorEastAsia"/>
          <w:shd w:val="clear" w:color="auto" w:fill="FFFFFF"/>
        </w:rPr>
      </w:pPr>
    </w:p>
    <w:p>
      <w:pPr>
        <w:pStyle w:val="55"/>
        <w:rPr>
          <w:rFonts w:asciiTheme="majorEastAsia" w:hAnsiTheme="majorEastAsia" w:eastAsiaTheme="majorEastAsia"/>
          <w:shd w:val="clear" w:color="auto" w:fill="FFFFFF"/>
        </w:rPr>
      </w:pPr>
    </w:p>
    <w:p>
      <w:pPr>
        <w:pStyle w:val="55"/>
        <w:rPr>
          <w:rFonts w:asciiTheme="majorEastAsia" w:hAnsiTheme="majorEastAsia" w:eastAsiaTheme="majorEastAsia"/>
          <w:shd w:val="clear" w:color="auto" w:fill="FFFFFF"/>
        </w:rPr>
      </w:pPr>
    </w:p>
    <w:p>
      <w:pPr>
        <w:pStyle w:val="55"/>
        <w:rPr>
          <w:rFonts w:asciiTheme="majorEastAsia" w:hAnsiTheme="majorEastAsia" w:eastAsiaTheme="majorEastAsia"/>
          <w:shd w:val="clear" w:color="auto" w:fill="FFFFFF"/>
        </w:rPr>
      </w:pPr>
    </w:p>
    <w:p>
      <w:pPr>
        <w:pStyle w:val="55"/>
        <w:rPr>
          <w:rFonts w:asciiTheme="majorEastAsia" w:hAnsiTheme="majorEastAsia" w:eastAsiaTheme="majorEastAsia"/>
          <w:shd w:val="clear" w:color="auto" w:fill="FFFFFF"/>
        </w:rPr>
      </w:pPr>
    </w:p>
    <w:p>
      <w:pPr>
        <w:pStyle w:val="55"/>
        <w:rPr>
          <w:rFonts w:asciiTheme="majorEastAsia" w:hAnsiTheme="majorEastAsia" w:eastAsiaTheme="majorEastAsia"/>
          <w:shd w:val="clear" w:color="auto" w:fill="FFFFFF"/>
        </w:rPr>
      </w:pPr>
    </w:p>
    <w:p>
      <w:pPr>
        <w:pStyle w:val="55"/>
        <w:rPr>
          <w:rFonts w:asciiTheme="majorEastAsia" w:hAnsiTheme="majorEastAsia" w:eastAsiaTheme="majorEastAsia"/>
          <w:shd w:val="clear" w:color="auto" w:fill="FFFFFF"/>
        </w:rPr>
      </w:pPr>
    </w:p>
    <w:p>
      <w:pPr>
        <w:pStyle w:val="55"/>
        <w:rPr>
          <w:rFonts w:asciiTheme="majorEastAsia" w:hAnsiTheme="majorEastAsia" w:eastAsiaTheme="majorEastAsia"/>
          <w:shd w:val="clear" w:color="auto" w:fill="FFFFFF"/>
        </w:rPr>
      </w:pPr>
    </w:p>
    <w:p>
      <w:pPr>
        <w:pStyle w:val="55"/>
        <w:rPr>
          <w:rFonts w:asciiTheme="majorEastAsia" w:hAnsiTheme="majorEastAsia" w:eastAsiaTheme="majorEastAsia"/>
          <w:shd w:val="clear" w:color="auto" w:fill="FFFFFF"/>
        </w:rPr>
      </w:pPr>
    </w:p>
    <w:p>
      <w:pPr>
        <w:pStyle w:val="55"/>
        <w:rPr>
          <w:rFonts w:asciiTheme="majorEastAsia" w:hAnsiTheme="majorEastAsia" w:eastAsiaTheme="majorEastAsia"/>
          <w:shd w:val="clear" w:color="auto" w:fill="FFFFFF"/>
        </w:rPr>
      </w:pPr>
    </w:p>
    <w:p>
      <w:pPr>
        <w:pStyle w:val="55"/>
        <w:rPr>
          <w:rFonts w:asciiTheme="majorEastAsia" w:hAnsiTheme="majorEastAsia" w:eastAsiaTheme="majorEastAsia"/>
          <w:shd w:val="clear" w:color="auto" w:fill="FFFFFF"/>
        </w:rPr>
      </w:pPr>
    </w:p>
    <w:p>
      <w:pPr>
        <w:pStyle w:val="3"/>
        <w:spacing w:before="0" w:after="0" w:line="360" w:lineRule="auto"/>
        <w:jc w:val="center"/>
        <w:rPr>
          <w:rFonts w:asciiTheme="majorEastAsia" w:hAnsiTheme="majorEastAsia" w:eastAsiaTheme="majorEastAsia"/>
        </w:rPr>
      </w:pPr>
      <w:r>
        <w:rPr>
          <w:rFonts w:hint="eastAsia" w:asciiTheme="majorEastAsia" w:hAnsiTheme="majorEastAsia" w:eastAsiaTheme="majorEastAsia"/>
        </w:rPr>
        <w:t>第二章  供应商须知</w:t>
      </w:r>
    </w:p>
    <w:p>
      <w:pPr>
        <w:spacing w:line="400" w:lineRule="exact"/>
        <w:ind w:firstLine="4057" w:firstLineChars="1347"/>
        <w:rPr>
          <w:rFonts w:asciiTheme="majorEastAsia" w:hAnsiTheme="majorEastAsia" w:eastAsiaTheme="majorEastAsia"/>
          <w:b/>
          <w:sz w:val="30"/>
          <w:szCs w:val="30"/>
        </w:rPr>
      </w:pPr>
      <w:r>
        <w:rPr>
          <w:rFonts w:hint="eastAsia" w:asciiTheme="majorEastAsia" w:hAnsiTheme="majorEastAsia" w:eastAsiaTheme="majorEastAsia"/>
          <w:b/>
          <w:sz w:val="30"/>
          <w:szCs w:val="30"/>
        </w:rPr>
        <w:t>前 附 表</w:t>
      </w:r>
    </w:p>
    <w:tbl>
      <w:tblPr>
        <w:tblStyle w:val="57"/>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260"/>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序号</w:t>
            </w:r>
          </w:p>
        </w:tc>
        <w:tc>
          <w:tcPr>
            <w:tcW w:w="2260"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条款名称</w:t>
            </w:r>
          </w:p>
        </w:tc>
        <w:tc>
          <w:tcPr>
            <w:tcW w:w="667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采购人</w:t>
            </w:r>
          </w:p>
        </w:tc>
        <w:tc>
          <w:tcPr>
            <w:tcW w:w="6672" w:type="dxa"/>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采购人：</w:t>
            </w:r>
            <w:r>
              <w:rPr>
                <w:rFonts w:hint="eastAsia" w:asciiTheme="majorEastAsia" w:hAnsiTheme="majorEastAsia" w:eastAsiaTheme="majorEastAsia"/>
                <w:sz w:val="24"/>
                <w:szCs w:val="24"/>
                <w:lang w:eastAsia="zh-CN"/>
              </w:rPr>
              <w:t>临沂市妇幼保健院</w:t>
            </w:r>
            <w:r>
              <w:rPr>
                <w:rFonts w:asciiTheme="majorEastAsia" w:hAnsiTheme="majorEastAsia" w:eastAsiaTheme="majorEastAsia"/>
                <w:sz w:val="24"/>
                <w:szCs w:val="24"/>
              </w:rPr>
              <w:t xml:space="preserve"> </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联系人：</w:t>
            </w:r>
            <w:r>
              <w:rPr>
                <w:rFonts w:hint="eastAsia" w:cs="宋体" w:asciiTheme="majorEastAsia" w:hAnsiTheme="majorEastAsia" w:eastAsiaTheme="majorEastAsia"/>
                <w:sz w:val="24"/>
                <w:szCs w:val="24"/>
                <w:lang w:val="en-US" w:eastAsia="zh-CN"/>
              </w:rPr>
              <w:t>解科长 0539-3216192</w:t>
            </w:r>
          </w:p>
          <w:p>
            <w:pPr>
              <w:spacing w:line="440" w:lineRule="exact"/>
              <w:rPr>
                <w:rFonts w:cs="宋体" w:asciiTheme="majorEastAsia" w:hAnsiTheme="majorEastAsia" w:eastAsiaTheme="majorEastAsia"/>
                <w:sz w:val="24"/>
                <w:szCs w:val="24"/>
              </w:rPr>
            </w:pPr>
            <w:r>
              <w:rPr>
                <w:rFonts w:hint="eastAsia" w:asciiTheme="majorEastAsia" w:hAnsiTheme="majorEastAsia" w:eastAsiaTheme="majorEastAsia"/>
                <w:sz w:val="24"/>
                <w:szCs w:val="24"/>
              </w:rPr>
              <w:t>地址：</w:t>
            </w:r>
            <w:r>
              <w:rPr>
                <w:rFonts w:hint="eastAsia" w:cs="宋体" w:asciiTheme="majorEastAsia" w:hAnsiTheme="majorEastAsia" w:eastAsiaTheme="majorEastAsia"/>
                <w:sz w:val="24"/>
                <w:szCs w:val="24"/>
              </w:rPr>
              <w:t>临沂市罗庄区清河南路1号</w:t>
            </w:r>
            <w:r>
              <w:rPr>
                <w:rFonts w:hint="eastAsia" w:asciiTheme="majorEastAsia" w:hAnsiTheme="majorEastAsia" w:eastAsiaTheme="maj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采购代理机构</w:t>
            </w:r>
          </w:p>
        </w:tc>
        <w:tc>
          <w:tcPr>
            <w:tcW w:w="6672" w:type="dxa"/>
          </w:tcPr>
          <w:p>
            <w:pPr>
              <w:spacing w:line="400" w:lineRule="exact"/>
              <w:rPr>
                <w:rFonts w:asciiTheme="majorEastAsia" w:hAnsiTheme="majorEastAsia" w:eastAsiaTheme="majorEastAsia"/>
                <w:sz w:val="24"/>
                <w:szCs w:val="24"/>
              </w:rPr>
            </w:pPr>
            <w:r>
              <w:rPr>
                <w:rFonts w:asciiTheme="majorEastAsia" w:hAnsiTheme="majorEastAsia" w:eastAsiaTheme="majorEastAsia"/>
                <w:sz w:val="24"/>
                <w:szCs w:val="24"/>
              </w:rPr>
              <w:t>名称：</w:t>
            </w:r>
            <w:r>
              <w:rPr>
                <w:rFonts w:hint="eastAsia" w:asciiTheme="majorEastAsia" w:hAnsiTheme="majorEastAsia" w:eastAsiaTheme="majorEastAsia"/>
                <w:sz w:val="24"/>
                <w:szCs w:val="24"/>
              </w:rPr>
              <w:t>临沂鼎泰招标有限公司</w:t>
            </w:r>
          </w:p>
          <w:p>
            <w:pPr>
              <w:spacing w:line="40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联系地址：临沂市北城新区天津路与汶河路交汇处向东路北。</w:t>
            </w:r>
          </w:p>
          <w:p>
            <w:pPr>
              <w:spacing w:line="400" w:lineRule="exact"/>
              <w:rPr>
                <w:rFonts w:hint="default" w:cs="宋体"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联系方式：</w:t>
            </w:r>
            <w:r>
              <w:rPr>
                <w:rFonts w:hint="eastAsia" w:asciiTheme="majorEastAsia" w:hAnsiTheme="majorEastAsia" w:eastAsiaTheme="majorEastAsia"/>
                <w:sz w:val="24"/>
                <w:szCs w:val="24"/>
                <w:lang w:val="en-US" w:eastAsia="zh-CN"/>
              </w:rPr>
              <w:t>韩雨霏</w:t>
            </w:r>
            <w:r>
              <w:rPr>
                <w:rFonts w:hint="eastAsia" w:asciiTheme="majorEastAsia" w:hAnsiTheme="majorEastAsia" w:eastAsiaTheme="majorEastAsia"/>
                <w:sz w:val="24"/>
                <w:szCs w:val="24"/>
              </w:rPr>
              <w:t xml:space="preserve"> 1895397</w:t>
            </w:r>
            <w:r>
              <w:rPr>
                <w:rFonts w:hint="eastAsia" w:asciiTheme="majorEastAsia" w:hAnsiTheme="majorEastAsia" w:eastAsiaTheme="majorEastAsia"/>
                <w:sz w:val="24"/>
                <w:szCs w:val="24"/>
                <w:lang w:val="en-US" w:eastAsia="zh-CN"/>
              </w:rPr>
              <w:t>7053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项目名称</w:t>
            </w:r>
          </w:p>
        </w:tc>
        <w:tc>
          <w:tcPr>
            <w:tcW w:w="6672" w:type="dxa"/>
          </w:tcPr>
          <w:p>
            <w:pPr>
              <w:spacing w:line="400" w:lineRule="exac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临沂市妇幼保健院院内指示导引系统项目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项目地点</w:t>
            </w:r>
          </w:p>
        </w:tc>
        <w:tc>
          <w:tcPr>
            <w:tcW w:w="6672" w:type="dxa"/>
          </w:tcPr>
          <w:p>
            <w:pPr>
              <w:spacing w:line="400" w:lineRule="exact"/>
              <w:rPr>
                <w:rFonts w:hint="eastAsia" w:cs="宋体"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临沂市妇幼保健院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2260" w:type="dxa"/>
            <w:vAlign w:val="center"/>
          </w:tcPr>
          <w:p>
            <w:pPr>
              <w:spacing w:line="440" w:lineRule="exact"/>
              <w:rPr>
                <w:rFonts w:cs="宋体" w:asciiTheme="majorEastAsia" w:hAnsiTheme="majorEastAsia" w:eastAsiaTheme="majorEastAsia"/>
                <w:sz w:val="24"/>
                <w:szCs w:val="24"/>
              </w:rPr>
            </w:pPr>
            <w:r>
              <w:rPr>
                <w:rFonts w:asciiTheme="majorEastAsia" w:hAnsiTheme="majorEastAsia" w:eastAsiaTheme="majorEastAsia"/>
                <w:sz w:val="24"/>
                <w:szCs w:val="24"/>
              </w:rPr>
              <w:t>资金来源</w:t>
            </w:r>
            <w:r>
              <w:rPr>
                <w:rFonts w:hint="eastAsia" w:asciiTheme="majorEastAsia" w:hAnsiTheme="majorEastAsia" w:eastAsiaTheme="majorEastAsia"/>
                <w:sz w:val="24"/>
                <w:szCs w:val="24"/>
              </w:rPr>
              <w:t>及比例</w:t>
            </w:r>
          </w:p>
        </w:tc>
        <w:tc>
          <w:tcPr>
            <w:tcW w:w="6672" w:type="dxa"/>
            <w:vAlign w:val="center"/>
          </w:tcPr>
          <w:p>
            <w:pPr>
              <w:spacing w:line="440" w:lineRule="exact"/>
              <w:rPr>
                <w:rFonts w:cs="宋体" w:asciiTheme="majorEastAsia" w:hAnsiTheme="majorEastAsia" w:eastAsiaTheme="majorEastAsia"/>
                <w:sz w:val="24"/>
                <w:szCs w:val="24"/>
              </w:rPr>
            </w:pPr>
            <w:r>
              <w:rPr>
                <w:rFonts w:hint="eastAsia" w:asciiTheme="majorEastAsia" w:hAnsiTheme="majorEastAsia" w:eastAsiaTheme="majorEastAsia"/>
                <w:sz w:val="24"/>
                <w:szCs w:val="24"/>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2260"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资金</w:t>
            </w:r>
            <w:r>
              <w:rPr>
                <w:rFonts w:asciiTheme="majorEastAsia" w:hAnsiTheme="majorEastAsia" w:eastAsiaTheme="majorEastAsia"/>
                <w:sz w:val="24"/>
                <w:szCs w:val="24"/>
              </w:rPr>
              <w:t>落实情况</w:t>
            </w:r>
          </w:p>
        </w:tc>
        <w:tc>
          <w:tcPr>
            <w:tcW w:w="6672"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7</w:t>
            </w:r>
          </w:p>
        </w:tc>
        <w:tc>
          <w:tcPr>
            <w:tcW w:w="2260" w:type="dxa"/>
            <w:vAlign w:val="center"/>
          </w:tcPr>
          <w:p>
            <w:pPr>
              <w:spacing w:line="4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招标预算</w:t>
            </w:r>
          </w:p>
        </w:tc>
        <w:tc>
          <w:tcPr>
            <w:tcW w:w="6672" w:type="dxa"/>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本项目招标预算为</w:t>
            </w:r>
            <w:r>
              <w:rPr>
                <w:rFonts w:hint="eastAsia" w:cs="宋体" w:asciiTheme="majorEastAsia" w:hAnsiTheme="majorEastAsia" w:eastAsiaTheme="majorEastAsia"/>
                <w:sz w:val="24"/>
                <w:szCs w:val="24"/>
                <w:u w:val="single"/>
                <w:lang w:val="en-US" w:eastAsia="zh-CN"/>
              </w:rPr>
              <w:t>65</w:t>
            </w:r>
            <w:r>
              <w:rPr>
                <w:rFonts w:hint="eastAsia" w:cs="宋体" w:asciiTheme="majorEastAsia" w:hAnsiTheme="majorEastAsia" w:eastAsiaTheme="majorEastAsia"/>
                <w:sz w:val="24"/>
                <w:szCs w:val="24"/>
              </w:rPr>
              <w:t>万元。响应报价（即开标报价）不得有选择性报价和附有条件的报价，响应报价超出预算者做无效标处理。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响应人资格要求</w:t>
            </w:r>
          </w:p>
        </w:tc>
        <w:tc>
          <w:tcPr>
            <w:tcW w:w="6672" w:type="dxa"/>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详见</w:t>
            </w:r>
            <w:r>
              <w:rPr>
                <w:rFonts w:hint="eastAsia" w:cs="宋体" w:asciiTheme="majorEastAsia" w:hAnsiTheme="majorEastAsia" w:eastAsiaTheme="majorEastAsia"/>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9</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踏勘现场</w:t>
            </w:r>
          </w:p>
        </w:tc>
        <w:tc>
          <w:tcPr>
            <w:tcW w:w="6672" w:type="dxa"/>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sym w:font="Wingdings" w:char="00FE"/>
            </w:r>
            <w:r>
              <w:rPr>
                <w:rFonts w:hint="eastAsia" w:cs="宋体" w:asciiTheme="majorEastAsia" w:hAnsiTheme="majorEastAsia" w:eastAsiaTheme="majorEastAsia"/>
                <w:sz w:val="24"/>
                <w:szCs w:val="24"/>
              </w:rPr>
              <w:t>不组织，自行踏勘。</w:t>
            </w:r>
          </w:p>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sym w:font="Wingdings" w:char="00A8"/>
            </w:r>
            <w:r>
              <w:rPr>
                <w:rFonts w:hint="eastAsia" w:cs="宋体" w:asciiTheme="majorEastAsia" w:hAnsiTheme="majorEastAsia" w:eastAsiaTheme="majorEastAsia"/>
                <w:sz w:val="24"/>
                <w:szCs w:val="24"/>
              </w:rPr>
              <w:t>组织，踏勘   时间：</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 xml:space="preserve">  集中踏勘地点：</w:t>
            </w:r>
            <w:r>
              <w:rPr>
                <w:rFonts w:hint="eastAsia" w:cs="宋体"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10</w:t>
            </w:r>
          </w:p>
        </w:tc>
        <w:tc>
          <w:tcPr>
            <w:tcW w:w="2260" w:type="dxa"/>
            <w:vAlign w:val="center"/>
          </w:tcPr>
          <w:p>
            <w:pPr>
              <w:tabs>
                <w:tab w:val="left" w:pos="3122"/>
              </w:tabs>
              <w:spacing w:line="360" w:lineRule="exact"/>
              <w:jc w:val="left"/>
              <w:rPr>
                <w:rFonts w:cs="宋体"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rPr>
              <w:t>付款方式</w:t>
            </w:r>
          </w:p>
        </w:tc>
        <w:tc>
          <w:tcPr>
            <w:tcW w:w="6672" w:type="dxa"/>
            <w:vAlign w:val="center"/>
          </w:tcPr>
          <w:p>
            <w:pPr>
              <w:tabs>
                <w:tab w:val="left" w:pos="426"/>
              </w:tabs>
              <w:adjustRightInd w:val="0"/>
              <w:snapToGrid w:val="0"/>
              <w:spacing w:line="360" w:lineRule="auto"/>
              <w:ind w:firstLine="410" w:firstLineChars="171"/>
              <w:jc w:val="left"/>
              <w:rPr>
                <w:rFonts w:cs="宋体" w:asciiTheme="majorEastAsia" w:hAnsiTheme="majorEastAsia" w:eastAsiaTheme="majorEastAsia"/>
                <w:color w:val="000000" w:themeColor="text1"/>
                <w:sz w:val="24"/>
                <w:szCs w:val="24"/>
              </w:rPr>
            </w:pPr>
            <w:r>
              <w:rPr>
                <w:rFonts w:hint="eastAsia" w:asciiTheme="majorEastAsia" w:hAnsiTheme="majorEastAsia" w:eastAsiaTheme="majorEastAsia" w:cstheme="majorEastAsia"/>
                <w:sz w:val="24"/>
                <w:szCs w:val="24"/>
                <w:lang w:val="zh-CN"/>
              </w:rPr>
              <w:t>合同生效后，采购人在收到</w:t>
            </w:r>
            <w:r>
              <w:rPr>
                <w:rFonts w:hint="eastAsia" w:asciiTheme="majorEastAsia" w:hAnsiTheme="majorEastAsia" w:eastAsiaTheme="majorEastAsia" w:cstheme="majorEastAsia"/>
                <w:sz w:val="24"/>
                <w:szCs w:val="24"/>
                <w:lang w:val="en-US" w:eastAsia="zh-CN"/>
              </w:rPr>
              <w:t>成交</w:t>
            </w:r>
            <w:r>
              <w:rPr>
                <w:rFonts w:hint="eastAsia" w:asciiTheme="majorEastAsia" w:hAnsiTheme="majorEastAsia" w:eastAsiaTheme="majorEastAsia" w:cstheme="majorEastAsia"/>
                <w:sz w:val="24"/>
                <w:szCs w:val="24"/>
                <w:lang w:val="zh-CN"/>
              </w:rPr>
              <w:t>人开具有效等额发票并提交上财务之日起，10个日历日内采购人向成交人支付合同金额的30%。所有系统软件上线（即全部子系统上线安装完成），双方和项目监理签署《系统上线报告》后，采购人收到成交人提交《支付进度款申请》和有效等额发票并提交上财务之日起，10个日历日内向成交人支付合同金额的60%。软件系统全部子系统由双方和项目监理签字验收完成之日满壹年之日起10个日历日内，采购人向成交人支付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11</w:t>
            </w:r>
          </w:p>
        </w:tc>
        <w:tc>
          <w:tcPr>
            <w:tcW w:w="2260" w:type="dxa"/>
            <w:vAlign w:val="center"/>
          </w:tcPr>
          <w:p>
            <w:pPr>
              <w:tabs>
                <w:tab w:val="left" w:pos="3122"/>
              </w:tabs>
              <w:spacing w:line="360" w:lineRule="exact"/>
              <w:jc w:val="left"/>
              <w:rPr>
                <w:rFonts w:hint="eastAsia" w:asciiTheme="majorEastAsia" w:hAnsiTheme="majorEastAsia" w:eastAsiaTheme="majorEastAsia"/>
                <w:color w:val="000000" w:themeColor="text1"/>
                <w:sz w:val="24"/>
                <w:lang w:eastAsia="zh-CN"/>
              </w:rPr>
            </w:pPr>
            <w:r>
              <w:rPr>
                <w:rFonts w:hint="eastAsia" w:asciiTheme="majorEastAsia" w:hAnsiTheme="majorEastAsia" w:eastAsiaTheme="majorEastAsia"/>
                <w:color w:val="000000" w:themeColor="text1"/>
                <w:sz w:val="24"/>
                <w:lang w:val="en-US" w:eastAsia="zh-CN"/>
              </w:rPr>
              <w:t>服务期</w:t>
            </w:r>
          </w:p>
        </w:tc>
        <w:tc>
          <w:tcPr>
            <w:tcW w:w="6672" w:type="dxa"/>
            <w:vAlign w:val="center"/>
          </w:tcPr>
          <w:p>
            <w:pPr>
              <w:tabs>
                <w:tab w:val="left" w:pos="3122"/>
              </w:tabs>
              <w:spacing w:line="360" w:lineRule="exact"/>
              <w:rPr>
                <w:rFonts w:cs="宋体" w:asciiTheme="majorEastAsia" w:hAnsiTheme="majorEastAsia" w:eastAsiaTheme="majorEastAsia"/>
                <w:color w:val="000000" w:themeColor="text1"/>
                <w:sz w:val="24"/>
                <w:szCs w:val="24"/>
              </w:rPr>
            </w:pPr>
            <w:r>
              <w:rPr>
                <w:rFonts w:hint="eastAsia" w:ascii="宋体" w:hAnsi="宋体" w:cs="Times New Roman"/>
                <w:sz w:val="24"/>
                <w:szCs w:val="24"/>
                <w:highlight w:val="none"/>
                <w:lang w:val="en-US" w:eastAsia="zh-CN"/>
              </w:rPr>
              <w:t>合同签订后3个月内完成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12</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响应有效期</w:t>
            </w:r>
          </w:p>
        </w:tc>
        <w:tc>
          <w:tcPr>
            <w:tcW w:w="6672" w:type="dxa"/>
          </w:tcPr>
          <w:p>
            <w:pPr>
              <w:spacing w:line="4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自响应截止之日起60日历天。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13</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是否允许递交备选报价方案</w:t>
            </w:r>
          </w:p>
        </w:tc>
        <w:tc>
          <w:tcPr>
            <w:tcW w:w="6672"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sym w:font="Wingdings" w:char="00FE"/>
            </w:r>
            <w:r>
              <w:rPr>
                <w:rFonts w:hint="eastAsia" w:cs="宋体" w:asciiTheme="majorEastAsia" w:hAnsiTheme="majorEastAsia" w:eastAsiaTheme="maj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14</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是否接受联合体响应</w:t>
            </w:r>
          </w:p>
        </w:tc>
        <w:tc>
          <w:tcPr>
            <w:tcW w:w="6672" w:type="dxa"/>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sym w:font="Wingdings" w:char="00FE"/>
            </w:r>
            <w:r>
              <w:rPr>
                <w:rFonts w:hint="eastAsia" w:cs="宋体" w:asciiTheme="majorEastAsia" w:hAnsiTheme="majorEastAsia" w:eastAsiaTheme="majorEastAsia"/>
                <w:sz w:val="24"/>
                <w:szCs w:val="24"/>
              </w:rPr>
              <w:t>不接受。</w:t>
            </w:r>
          </w:p>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sym w:font="Wingdings" w:char="00A8"/>
            </w:r>
            <w:r>
              <w:rPr>
                <w:rFonts w:hint="eastAsia" w:cs="宋体" w:asciiTheme="majorEastAsia" w:hAnsiTheme="majorEastAsia" w:eastAsiaTheme="majorEastAsia"/>
                <w:sz w:val="24"/>
                <w:szCs w:val="24"/>
              </w:rPr>
              <w:t>接受，应满足下列要求：</w:t>
            </w:r>
            <w:r>
              <w:rPr>
                <w:rFonts w:hint="eastAsia" w:cs="宋体"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sz w:val="24"/>
                <w:szCs w:val="24"/>
              </w:rPr>
              <w:t>15</w:t>
            </w:r>
          </w:p>
        </w:tc>
        <w:tc>
          <w:tcPr>
            <w:tcW w:w="2260" w:type="dxa"/>
            <w:vAlign w:val="center"/>
          </w:tcPr>
          <w:p>
            <w:pPr>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样品要求</w:t>
            </w:r>
          </w:p>
        </w:tc>
        <w:tc>
          <w:tcPr>
            <w:tcW w:w="6672" w:type="dxa"/>
          </w:tcPr>
          <w:p>
            <w:pPr>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sym w:font="Wingdings" w:char="00FE"/>
            </w:r>
            <w:r>
              <w:rPr>
                <w:rFonts w:hint="eastAsia" w:cs="宋体" w:asciiTheme="majorEastAsia" w:hAnsiTheme="majorEastAsia" w:eastAsiaTheme="majorEastAsia"/>
                <w:color w:val="000000" w:themeColor="text1"/>
                <w:sz w:val="24"/>
                <w:szCs w:val="24"/>
              </w:rPr>
              <w:t>不需提交样品。</w:t>
            </w:r>
          </w:p>
          <w:p>
            <w:pPr>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sym w:font="Wingdings" w:char="00A8"/>
            </w:r>
            <w:r>
              <w:rPr>
                <w:rFonts w:hint="eastAsia" w:cs="宋体" w:asciiTheme="majorEastAsia" w:hAnsiTheme="majorEastAsia" w:eastAsiaTheme="majorEastAsia"/>
                <w:color w:val="000000" w:themeColor="text1"/>
                <w:sz w:val="24"/>
                <w:szCs w:val="24"/>
              </w:rPr>
              <w:t>需提交样品，样品要求如下：</w:t>
            </w:r>
            <w:r>
              <w:rPr>
                <w:rFonts w:hint="eastAsia" w:cs="宋体" w:asciiTheme="majorEastAsia" w:hAnsiTheme="majorEastAsia" w:eastAsiaTheme="majorEastAsia"/>
                <w:color w:val="000000" w:themeColor="text1"/>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16</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响应文件份数</w:t>
            </w:r>
          </w:p>
        </w:tc>
        <w:tc>
          <w:tcPr>
            <w:tcW w:w="6672" w:type="dxa"/>
          </w:tcPr>
          <w:p>
            <w:pPr>
              <w:spacing w:line="400" w:lineRule="exact"/>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1、正本一份，胶装；</w:t>
            </w:r>
          </w:p>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color w:val="000000"/>
                <w:sz w:val="24"/>
                <w:szCs w:val="24"/>
              </w:rPr>
              <w:t>2、副本</w:t>
            </w:r>
            <w:r>
              <w:rPr>
                <w:rFonts w:hint="eastAsia" w:cs="宋体" w:asciiTheme="majorEastAsia" w:hAnsiTheme="majorEastAsia" w:eastAsiaTheme="majorEastAsia"/>
                <w:color w:val="000000"/>
                <w:sz w:val="24"/>
                <w:szCs w:val="24"/>
                <w:u w:val="single"/>
              </w:rPr>
              <w:t>三</w:t>
            </w:r>
            <w:r>
              <w:rPr>
                <w:rFonts w:hint="eastAsia" w:cs="宋体" w:asciiTheme="majorEastAsia" w:hAnsiTheme="majorEastAsia" w:eastAsiaTheme="majorEastAsia"/>
                <w:color w:val="000000"/>
                <w:sz w:val="24"/>
                <w:szCs w:val="24"/>
              </w:rPr>
              <w:t>份，胶装；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17</w:t>
            </w:r>
          </w:p>
        </w:tc>
        <w:tc>
          <w:tcPr>
            <w:tcW w:w="2260"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响应文件电子版</w:t>
            </w:r>
          </w:p>
        </w:tc>
        <w:tc>
          <w:tcPr>
            <w:tcW w:w="6672"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1、加密的电子响应文件一份：在投标截止时间前上传到临沂市公共资源电子交易平台中（格式为.LYTF）。 </w:t>
            </w:r>
          </w:p>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2、不加密电子响应文件一份：格式为.NLYTF文件，光盘介质存储，做好标识，密封递交。 </w:t>
            </w:r>
          </w:p>
          <w:p>
            <w:pPr>
              <w:spacing w:line="4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3、</w:t>
            </w:r>
            <w:r>
              <w:rPr>
                <w:rFonts w:hint="eastAsia" w:cs="宋体" w:asciiTheme="majorEastAsia" w:hAnsiTheme="majorEastAsia" w:eastAsiaTheme="majorEastAsia"/>
                <w:b/>
                <w:bCs/>
                <w:sz w:val="24"/>
                <w:szCs w:val="24"/>
              </w:rPr>
              <w:t>参加投标时务必携带制作电子投标文件时使用的 CA 锁，以便开标现场解密。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18</w:t>
            </w:r>
          </w:p>
        </w:tc>
        <w:tc>
          <w:tcPr>
            <w:tcW w:w="2260"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电子化投标注</w:t>
            </w:r>
          </w:p>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意事项</w:t>
            </w:r>
          </w:p>
          <w:p>
            <w:pPr>
              <w:spacing w:line="400" w:lineRule="exact"/>
              <w:rPr>
                <w:rFonts w:cs="宋体" w:asciiTheme="majorEastAsia" w:hAnsiTheme="majorEastAsia" w:eastAsiaTheme="majorEastAsia"/>
                <w:sz w:val="24"/>
                <w:szCs w:val="24"/>
              </w:rPr>
            </w:pPr>
          </w:p>
        </w:tc>
        <w:tc>
          <w:tcPr>
            <w:tcW w:w="6672" w:type="dxa"/>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投标人需要登陆临沂市公共资源交易网--企业用户登录--政府采购项目，使用 CA 锁从网上购买和下载招标文件，使用电子投 标文件制作专用软件制作电子投标文件，并使用 CA 锁进行电子投标文件制作加解密、电子签章等，并于投标截止时间之前将加密版电子文件（格式为.LYTF）上传至电子招投标交易平台；非加密投标文件（格式为.NLYTF 格式）拷贝至光盘备用。 </w:t>
            </w:r>
          </w:p>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1、电子化投标试运行期间，电子版投标文件与纸质投标文件不一致的，以纸质文件为准； </w:t>
            </w:r>
          </w:p>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2、电子开评标系统中，电子投标函报价与电子投标文件报价不一致的投标将被否决。 </w:t>
            </w:r>
          </w:p>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3、投标人须保证启用电子版时能正常读取，否则出现问题，后果自负。 </w:t>
            </w:r>
          </w:p>
          <w:p>
            <w:pPr>
              <w:spacing w:line="400" w:lineRule="exact"/>
              <w:rPr>
                <w:rFonts w:cs="宋体" w:asciiTheme="majorEastAsia" w:hAnsiTheme="majorEastAsia" w:eastAsiaTheme="majorEastAsia"/>
                <w:b/>
                <w:bCs/>
                <w:sz w:val="24"/>
                <w:szCs w:val="24"/>
              </w:rPr>
            </w:pPr>
            <w:r>
              <w:rPr>
                <w:rFonts w:hint="eastAsia" w:cs="宋体" w:asciiTheme="majorEastAsia" w:hAnsiTheme="majorEastAsia" w:eastAsiaTheme="majorEastAsia"/>
                <w:sz w:val="24"/>
                <w:szCs w:val="24"/>
              </w:rPr>
              <w:t>4、</w:t>
            </w:r>
            <w:r>
              <w:rPr>
                <w:rFonts w:hint="eastAsia" w:cs="宋体" w:asciiTheme="majorEastAsia" w:hAnsiTheme="majorEastAsia" w:eastAsiaTheme="majorEastAsia"/>
                <w:b/>
                <w:bCs/>
                <w:sz w:val="24"/>
                <w:szCs w:val="24"/>
              </w:rPr>
              <w:t>投标人有多个 CA 锁的，请务必使用制作电子投标文件时使用的 CA 锁，否则将导致电子版投标文件解密失败。因此原因造成的一切后果，由投标人自负。</w:t>
            </w:r>
          </w:p>
          <w:p>
            <w:pPr>
              <w:pStyle w:val="55"/>
              <w:spacing w:line="400" w:lineRule="exact"/>
              <w:ind w:left="0" w:leftChars="0" w:firstLine="0" w:firstLineChars="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5、电子招投标的应急措施：</w:t>
            </w:r>
          </w:p>
          <w:p>
            <w:pPr>
              <w:pStyle w:val="55"/>
              <w:spacing w:line="400" w:lineRule="exact"/>
              <w:ind w:left="0" w:leftChars="0" w:firstLine="0" w:firstLineChars="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电子开标、评标出现下列原因，导致系统无法正常运行或无法正常评标时，应采取应急措施。</w:t>
            </w:r>
          </w:p>
          <w:p>
            <w:pPr>
              <w:pStyle w:val="55"/>
              <w:spacing w:line="400" w:lineRule="exact"/>
              <w:ind w:left="0" w:leftChars="0" w:firstLine="0" w:firstLineChars="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①系统服务器发生故障，无法访问或无法使用系统；</w:t>
            </w:r>
          </w:p>
          <w:p>
            <w:pPr>
              <w:pStyle w:val="55"/>
              <w:spacing w:line="400" w:lineRule="exact"/>
              <w:ind w:left="0" w:leftChars="0" w:firstLine="0" w:firstLineChars="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②系统的软件或数据库出现错误，不能进行正常操作；</w:t>
            </w:r>
          </w:p>
          <w:p>
            <w:pPr>
              <w:pStyle w:val="55"/>
              <w:spacing w:line="400" w:lineRule="exact"/>
              <w:ind w:left="0" w:leftChars="0" w:firstLine="0" w:firstLineChars="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③系统发现有安全漏洞，有潜在的泄密危险；</w:t>
            </w:r>
          </w:p>
          <w:p>
            <w:pPr>
              <w:pStyle w:val="55"/>
              <w:spacing w:line="400" w:lineRule="exact"/>
              <w:ind w:left="0" w:leftChars="0" w:firstLine="0" w:firstLineChars="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④病毒发作或受到外来病毒的攻击；</w:t>
            </w:r>
          </w:p>
          <w:p>
            <w:pPr>
              <w:pStyle w:val="55"/>
              <w:spacing w:line="400" w:lineRule="exact"/>
              <w:ind w:left="0" w:leftChars="0" w:firstLine="0" w:firstLineChars="0"/>
              <w:rPr>
                <w:rFonts w:cs="宋体" w:asciiTheme="majorEastAsia" w:hAnsiTheme="majorEastAsia" w:eastAsiaTheme="majorEastAsia"/>
                <w:sz w:val="24"/>
                <w:szCs w:val="24"/>
              </w:rPr>
            </w:pPr>
            <w:r>
              <w:rPr>
                <w:rFonts w:hint="eastAsia" w:asciiTheme="majorEastAsia" w:hAnsiTheme="majorEastAsia" w:eastAsiaTheme="majorEastAsia"/>
                <w:color w:val="000000"/>
                <w:sz w:val="24"/>
                <w:szCs w:val="24"/>
              </w:rPr>
              <w:t>⑤出现其他不可抗拒的客观原因造成开评标系统无法正常使用；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19</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递交响应文件时间、截止时间、地点及地址</w:t>
            </w:r>
          </w:p>
        </w:tc>
        <w:tc>
          <w:tcPr>
            <w:tcW w:w="6672" w:type="dxa"/>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递交时间：</w:t>
            </w:r>
            <w:r>
              <w:rPr>
                <w:rFonts w:hint="eastAsia" w:cs="宋体" w:asciiTheme="majorEastAsia" w:hAnsiTheme="majorEastAsia" w:eastAsiaTheme="majorEastAsia"/>
                <w:sz w:val="24"/>
                <w:szCs w:val="24"/>
                <w:u w:val="single"/>
              </w:rPr>
              <w:t>20</w:t>
            </w:r>
            <w:r>
              <w:rPr>
                <w:rFonts w:hint="eastAsia" w:cs="宋体" w:asciiTheme="majorEastAsia" w:hAnsiTheme="majorEastAsia" w:eastAsiaTheme="majorEastAsia"/>
                <w:sz w:val="24"/>
                <w:szCs w:val="24"/>
                <w:u w:val="single"/>
                <w:lang w:val="en-US" w:eastAsia="zh-CN"/>
              </w:rPr>
              <w:t>20</w:t>
            </w:r>
            <w:r>
              <w:rPr>
                <w:rFonts w:hint="eastAsia" w:cs="宋体" w:asciiTheme="majorEastAsia" w:hAnsiTheme="majorEastAsia" w:eastAsiaTheme="majorEastAsia"/>
                <w:sz w:val="24"/>
                <w:szCs w:val="24"/>
              </w:rPr>
              <w:t>年</w:t>
            </w:r>
            <w:r>
              <w:rPr>
                <w:rFonts w:hint="eastAsia" w:cs="宋体" w:asciiTheme="majorEastAsia" w:hAnsiTheme="majorEastAsia" w:eastAsiaTheme="majorEastAsia"/>
                <w:sz w:val="24"/>
                <w:szCs w:val="24"/>
                <w:u w:val="single"/>
              </w:rPr>
              <w:t xml:space="preserve"> 1</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u w:val="single"/>
                <w:lang w:val="en-US" w:eastAsia="zh-CN"/>
              </w:rPr>
              <w:t>19</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日</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08</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时</w:t>
            </w:r>
            <w:r>
              <w:rPr>
                <w:rFonts w:hint="eastAsia" w:cs="宋体" w:asciiTheme="majorEastAsia" w:hAnsiTheme="majorEastAsia" w:eastAsiaTheme="majorEastAsia"/>
                <w:sz w:val="24"/>
                <w:szCs w:val="24"/>
                <w:u w:val="single"/>
              </w:rPr>
              <w:t xml:space="preserve"> 30 </w:t>
            </w:r>
            <w:r>
              <w:rPr>
                <w:rFonts w:hint="eastAsia" w:cs="宋体" w:asciiTheme="majorEastAsia" w:hAnsiTheme="majorEastAsia" w:eastAsiaTheme="majorEastAsia"/>
                <w:sz w:val="24"/>
                <w:szCs w:val="24"/>
              </w:rPr>
              <w:t>分起至</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09</w:t>
            </w:r>
            <w:r>
              <w:rPr>
                <w:rFonts w:hint="eastAsia" w:cs="宋体" w:asciiTheme="majorEastAsia" w:hAnsiTheme="majorEastAsia" w:eastAsiaTheme="majorEastAsia"/>
                <w:sz w:val="24"/>
                <w:szCs w:val="24"/>
              </w:rPr>
              <w:t>时</w:t>
            </w:r>
            <w:r>
              <w:rPr>
                <w:rFonts w:hint="eastAsia" w:cs="宋体" w:asciiTheme="majorEastAsia" w:hAnsiTheme="majorEastAsia" w:eastAsiaTheme="majorEastAsia"/>
                <w:sz w:val="24"/>
                <w:szCs w:val="24"/>
                <w:u w:val="single"/>
              </w:rPr>
              <w:t xml:space="preserve"> 00 </w:t>
            </w:r>
            <w:r>
              <w:rPr>
                <w:rFonts w:hint="eastAsia" w:cs="宋体" w:asciiTheme="majorEastAsia" w:hAnsiTheme="majorEastAsia" w:eastAsiaTheme="majorEastAsia"/>
                <w:sz w:val="24"/>
                <w:szCs w:val="24"/>
              </w:rPr>
              <w:t>分止。</w:t>
            </w:r>
          </w:p>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截止时间：</w:t>
            </w:r>
            <w:r>
              <w:rPr>
                <w:rFonts w:hint="eastAsia" w:cs="宋体" w:asciiTheme="majorEastAsia" w:hAnsiTheme="majorEastAsia" w:eastAsiaTheme="majorEastAsia"/>
                <w:sz w:val="24"/>
                <w:szCs w:val="24"/>
                <w:u w:val="single"/>
              </w:rPr>
              <w:t xml:space="preserve"> 20</w:t>
            </w:r>
            <w:r>
              <w:rPr>
                <w:rFonts w:hint="eastAsia" w:cs="宋体" w:asciiTheme="majorEastAsia" w:hAnsiTheme="majorEastAsia" w:eastAsiaTheme="majorEastAsia"/>
                <w:sz w:val="24"/>
                <w:szCs w:val="24"/>
                <w:u w:val="single"/>
                <w:lang w:val="en-US" w:eastAsia="zh-CN"/>
              </w:rPr>
              <w:t>20</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年</w:t>
            </w:r>
            <w:r>
              <w:rPr>
                <w:rFonts w:hint="eastAsia" w:cs="宋体" w:asciiTheme="majorEastAsia" w:hAnsiTheme="majorEastAsia" w:eastAsiaTheme="majorEastAsia"/>
                <w:sz w:val="24"/>
                <w:szCs w:val="24"/>
                <w:u w:val="single"/>
              </w:rPr>
              <w:t xml:space="preserve"> 1 </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19</w:t>
            </w:r>
            <w:r>
              <w:rPr>
                <w:rFonts w:hint="eastAsia" w:cs="宋体" w:asciiTheme="majorEastAsia" w:hAnsiTheme="majorEastAsia" w:eastAsiaTheme="majorEastAsia"/>
                <w:sz w:val="24"/>
                <w:szCs w:val="24"/>
              </w:rPr>
              <w:t>日</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09</w:t>
            </w:r>
            <w:r>
              <w:rPr>
                <w:rFonts w:hint="eastAsia" w:cs="宋体" w:asciiTheme="majorEastAsia" w:hAnsiTheme="majorEastAsia" w:eastAsiaTheme="majorEastAsia"/>
                <w:sz w:val="24"/>
                <w:szCs w:val="24"/>
              </w:rPr>
              <w:t>时</w:t>
            </w:r>
            <w:r>
              <w:rPr>
                <w:rFonts w:hint="eastAsia" w:cs="宋体" w:asciiTheme="majorEastAsia" w:hAnsiTheme="majorEastAsia" w:eastAsiaTheme="majorEastAsia"/>
                <w:sz w:val="24"/>
                <w:szCs w:val="24"/>
                <w:u w:val="single"/>
              </w:rPr>
              <w:t xml:space="preserve"> 00</w:t>
            </w:r>
            <w:r>
              <w:rPr>
                <w:rFonts w:hint="eastAsia" w:cs="宋体" w:asciiTheme="majorEastAsia" w:hAnsiTheme="majorEastAsia" w:eastAsiaTheme="majorEastAsia"/>
                <w:sz w:val="24"/>
                <w:szCs w:val="24"/>
              </w:rPr>
              <w:t>分。</w:t>
            </w:r>
          </w:p>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地点：临沂市公共资源交易中心五楼开标室。 </w:t>
            </w:r>
            <w:r>
              <w:rPr>
                <w:rFonts w:hint="eastAsia" w:cs="宋体"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20</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响应文件是否退还</w:t>
            </w:r>
          </w:p>
        </w:tc>
        <w:tc>
          <w:tcPr>
            <w:tcW w:w="6672"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21</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开标时间、地点</w:t>
            </w:r>
          </w:p>
        </w:tc>
        <w:tc>
          <w:tcPr>
            <w:tcW w:w="6672" w:type="dxa"/>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开标时间：</w:t>
            </w:r>
            <w:r>
              <w:rPr>
                <w:rFonts w:hint="eastAsia" w:cs="宋体" w:asciiTheme="majorEastAsia" w:hAnsiTheme="majorEastAsia" w:eastAsiaTheme="majorEastAsia"/>
                <w:sz w:val="24"/>
                <w:szCs w:val="24"/>
                <w:u w:val="single"/>
              </w:rPr>
              <w:t xml:space="preserve">  20</w:t>
            </w:r>
            <w:r>
              <w:rPr>
                <w:rFonts w:hint="eastAsia" w:cs="宋体" w:asciiTheme="majorEastAsia" w:hAnsiTheme="majorEastAsia" w:eastAsiaTheme="majorEastAsia"/>
                <w:sz w:val="24"/>
                <w:szCs w:val="24"/>
                <w:u w:val="single"/>
                <w:lang w:val="en-US" w:eastAsia="zh-CN"/>
              </w:rPr>
              <w:t>20</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年</w:t>
            </w:r>
            <w:r>
              <w:rPr>
                <w:rFonts w:hint="eastAsia" w:cs="宋体" w:asciiTheme="majorEastAsia" w:hAnsiTheme="majorEastAsia" w:eastAsiaTheme="majorEastAsia"/>
                <w:sz w:val="24"/>
                <w:szCs w:val="24"/>
                <w:u w:val="single"/>
              </w:rPr>
              <w:t xml:space="preserve"> 1 </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19</w:t>
            </w:r>
            <w:r>
              <w:rPr>
                <w:rFonts w:hint="eastAsia" w:cs="宋体" w:asciiTheme="majorEastAsia" w:hAnsiTheme="majorEastAsia" w:eastAsiaTheme="majorEastAsia"/>
                <w:sz w:val="24"/>
                <w:szCs w:val="24"/>
              </w:rPr>
              <w:t>日</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09</w:t>
            </w:r>
            <w:r>
              <w:rPr>
                <w:rFonts w:hint="eastAsia" w:cs="宋体" w:asciiTheme="majorEastAsia" w:hAnsiTheme="majorEastAsia" w:eastAsiaTheme="majorEastAsia"/>
                <w:sz w:val="24"/>
                <w:szCs w:val="24"/>
              </w:rPr>
              <w:t>时</w:t>
            </w:r>
            <w:r>
              <w:rPr>
                <w:rFonts w:hint="eastAsia" w:cs="宋体" w:asciiTheme="majorEastAsia" w:hAnsiTheme="majorEastAsia" w:eastAsiaTheme="majorEastAsia"/>
                <w:sz w:val="24"/>
                <w:szCs w:val="24"/>
                <w:u w:val="single"/>
              </w:rPr>
              <w:t xml:space="preserve"> 00</w:t>
            </w:r>
            <w:r>
              <w:rPr>
                <w:rFonts w:hint="eastAsia" w:cs="宋体" w:asciiTheme="majorEastAsia" w:hAnsiTheme="majorEastAsia" w:eastAsiaTheme="majorEastAsia"/>
                <w:sz w:val="24"/>
                <w:szCs w:val="24"/>
              </w:rPr>
              <w:t>分。</w:t>
            </w:r>
          </w:p>
          <w:p>
            <w:pPr>
              <w:spacing w:line="4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开标地点：临沂市公共资源交易中心五楼开标室。</w:t>
            </w:r>
            <w:r>
              <w:rPr>
                <w:rFonts w:hint="eastAsia" w:cs="宋体"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22</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响应文件密封性检查</w:t>
            </w:r>
          </w:p>
        </w:tc>
        <w:tc>
          <w:tcPr>
            <w:tcW w:w="6672" w:type="dxa"/>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u w:val="single"/>
              </w:rPr>
              <w:t>由响应人代表共同检查响应文件的密封情况，并经响应人签字确认或由采购人委托的公证人员检查响应文件密封情况并公证</w:t>
            </w:r>
            <w:r>
              <w:rPr>
                <w:rFonts w:hint="eastAsia" w:cs="宋体"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23</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唱标顺序</w:t>
            </w:r>
          </w:p>
        </w:tc>
        <w:tc>
          <w:tcPr>
            <w:tcW w:w="6672" w:type="dxa"/>
          </w:tcPr>
          <w:p>
            <w:pPr>
              <w:spacing w:line="4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按照响应人递交响应文件的顺序进行。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24</w:t>
            </w:r>
          </w:p>
        </w:tc>
        <w:tc>
          <w:tcPr>
            <w:tcW w:w="2260" w:type="dxa"/>
            <w:vAlign w:val="center"/>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评标办法</w:t>
            </w:r>
          </w:p>
        </w:tc>
        <w:tc>
          <w:tcPr>
            <w:tcW w:w="6672" w:type="dxa"/>
          </w:tcPr>
          <w:p>
            <w:pPr>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sym w:font="Wingdings" w:char="00A8"/>
            </w:r>
            <w:r>
              <w:rPr>
                <w:rFonts w:hint="eastAsia" w:cs="宋体" w:asciiTheme="majorEastAsia" w:hAnsiTheme="majorEastAsia" w:eastAsiaTheme="majorEastAsia"/>
                <w:sz w:val="24"/>
                <w:szCs w:val="24"/>
              </w:rPr>
              <w:t xml:space="preserve">最低评标法      </w:t>
            </w:r>
            <w:r>
              <w:rPr>
                <w:rFonts w:hint="eastAsia" w:cs="宋体" w:asciiTheme="majorEastAsia" w:hAnsiTheme="majorEastAsia" w:eastAsiaTheme="majorEastAsia"/>
                <w:sz w:val="24"/>
                <w:szCs w:val="24"/>
              </w:rPr>
              <w:sym w:font="Wingdings" w:char="00FE"/>
            </w:r>
            <w:r>
              <w:rPr>
                <w:rFonts w:hint="eastAsia" w:cs="宋体" w:asciiTheme="majorEastAsia" w:hAnsiTheme="majorEastAsia" w:eastAsiaTheme="majorEastAsia"/>
                <w:sz w:val="24"/>
                <w:szCs w:val="24"/>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25</w:t>
            </w:r>
          </w:p>
        </w:tc>
        <w:tc>
          <w:tcPr>
            <w:tcW w:w="2260" w:type="dxa"/>
            <w:vAlign w:val="center"/>
          </w:tcPr>
          <w:p>
            <w:pPr>
              <w:tabs>
                <w:tab w:val="left" w:pos="3122"/>
              </w:tabs>
              <w:spacing w:line="360" w:lineRule="exact"/>
              <w:rPr>
                <w:rFonts w:cs="宋体" w:asciiTheme="majorEastAsia" w:hAnsiTheme="majorEastAsia" w:eastAsiaTheme="majorEastAsia"/>
                <w:sz w:val="24"/>
                <w:szCs w:val="24"/>
              </w:rPr>
            </w:pPr>
            <w:r>
              <w:rPr>
                <w:rFonts w:hint="eastAsia" w:asciiTheme="majorEastAsia" w:hAnsiTheme="majorEastAsia" w:eastAsiaTheme="majorEastAsia"/>
                <w:bCs/>
                <w:color w:val="000000"/>
                <w:kern w:val="11"/>
                <w:sz w:val="24"/>
              </w:rPr>
              <w:t>成交</w:t>
            </w:r>
            <w:r>
              <w:rPr>
                <w:rFonts w:hint="eastAsia" w:cs="宋体" w:asciiTheme="majorEastAsia" w:hAnsiTheme="majorEastAsia" w:eastAsiaTheme="majorEastAsia"/>
                <w:color w:val="000000"/>
                <w:sz w:val="24"/>
              </w:rPr>
              <w:t>服务费</w:t>
            </w:r>
          </w:p>
        </w:tc>
        <w:tc>
          <w:tcPr>
            <w:tcW w:w="6672" w:type="dxa"/>
            <w:vAlign w:val="center"/>
          </w:tcPr>
          <w:p>
            <w:pPr>
              <w:tabs>
                <w:tab w:val="left" w:pos="3122"/>
              </w:tabs>
              <w:spacing w:line="360" w:lineRule="exact"/>
              <w:ind w:right="241"/>
              <w:rPr>
                <w:rFonts w:cs="宋体" w:asciiTheme="majorEastAsia" w:hAnsiTheme="majorEastAsia" w:eastAsiaTheme="majorEastAsia"/>
                <w:sz w:val="24"/>
                <w:szCs w:val="24"/>
              </w:rPr>
            </w:pPr>
            <w:r>
              <w:rPr>
                <w:rFonts w:hint="eastAsia" w:asciiTheme="majorEastAsia" w:hAnsiTheme="majorEastAsia" w:eastAsiaTheme="majorEastAsia"/>
                <w:bCs/>
                <w:color w:val="000000"/>
                <w:kern w:val="11"/>
                <w:sz w:val="24"/>
              </w:rPr>
              <w:t>按照成交金额的1.5%计取，由成交人缴纳。（若需开具发票，请于交纳代理服务费当月到我公司财务科办理，逾期不办。）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26</w:t>
            </w:r>
          </w:p>
        </w:tc>
        <w:tc>
          <w:tcPr>
            <w:tcW w:w="2260" w:type="dxa"/>
            <w:vAlign w:val="center"/>
          </w:tcPr>
          <w:p>
            <w:pPr>
              <w:tabs>
                <w:tab w:val="left" w:pos="3122"/>
              </w:tabs>
              <w:spacing w:line="360" w:lineRule="exact"/>
              <w:jc w:val="left"/>
              <w:rPr>
                <w:rFonts w:cs="宋体" w:asciiTheme="majorEastAsia" w:hAnsiTheme="majorEastAsia" w:eastAsiaTheme="majorEastAsia"/>
                <w:sz w:val="24"/>
                <w:szCs w:val="24"/>
              </w:rPr>
            </w:pPr>
            <w:r>
              <w:rPr>
                <w:rFonts w:hint="eastAsia" w:cs="宋体" w:asciiTheme="majorEastAsia" w:hAnsiTheme="majorEastAsia" w:eastAsiaTheme="majorEastAsia"/>
                <w:color w:val="000000"/>
                <w:sz w:val="24"/>
              </w:rPr>
              <w:t>质量要求</w:t>
            </w:r>
          </w:p>
        </w:tc>
        <w:tc>
          <w:tcPr>
            <w:tcW w:w="6672" w:type="dxa"/>
            <w:vAlign w:val="center"/>
          </w:tcPr>
          <w:p>
            <w:pPr>
              <w:tabs>
                <w:tab w:val="left" w:pos="3122"/>
              </w:tabs>
              <w:spacing w:line="360" w:lineRule="exact"/>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合格，达到国家现行技术标准</w:t>
            </w:r>
          </w:p>
          <w:p>
            <w:pPr>
              <w:tabs>
                <w:tab w:val="left" w:pos="3122"/>
              </w:tabs>
              <w:spacing w:line="36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color w:val="000000"/>
                <w:sz w:val="24"/>
              </w:rPr>
              <w:t>满足招标文件要求，与响应文件中描述相一致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02" w:type="dxa"/>
            <w:vAlign w:val="center"/>
          </w:tcPr>
          <w:p>
            <w:pPr>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27</w:t>
            </w:r>
          </w:p>
        </w:tc>
        <w:tc>
          <w:tcPr>
            <w:tcW w:w="2260" w:type="dxa"/>
            <w:vAlign w:val="center"/>
          </w:tcPr>
          <w:p>
            <w:pPr>
              <w:tabs>
                <w:tab w:val="left" w:pos="3122"/>
              </w:tabs>
              <w:spacing w:line="360" w:lineRule="exact"/>
              <w:jc w:val="left"/>
              <w:rPr>
                <w:rFonts w:cs="宋体" w:asciiTheme="majorEastAsia" w:hAnsiTheme="majorEastAsia" w:eastAsiaTheme="majorEastAsia"/>
                <w:sz w:val="24"/>
                <w:szCs w:val="24"/>
              </w:rPr>
            </w:pPr>
            <w:r>
              <w:rPr>
                <w:rFonts w:hint="eastAsia" w:asciiTheme="majorEastAsia" w:hAnsiTheme="majorEastAsia" w:eastAsiaTheme="majorEastAsia"/>
                <w:bCs/>
                <w:kern w:val="11"/>
                <w:sz w:val="24"/>
              </w:rPr>
              <w:t>磋商内容</w:t>
            </w:r>
          </w:p>
        </w:tc>
        <w:tc>
          <w:tcPr>
            <w:tcW w:w="6672" w:type="dxa"/>
            <w:vAlign w:val="center"/>
          </w:tcPr>
          <w:p>
            <w:pPr>
              <w:tabs>
                <w:tab w:val="left" w:pos="3122"/>
              </w:tabs>
              <w:spacing w:line="36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商务、技术部分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4" w:type="dxa"/>
            <w:gridSpan w:val="3"/>
            <w:vAlign w:val="center"/>
          </w:tcPr>
          <w:p>
            <w:pPr>
              <w:spacing w:line="400" w:lineRule="exact"/>
              <w:rPr>
                <w:rFonts w:cs="宋体" w:asciiTheme="majorEastAsia" w:hAnsiTheme="majorEastAsia" w:eastAsiaTheme="majorEastAsia"/>
                <w:sz w:val="24"/>
                <w:szCs w:val="24"/>
              </w:rPr>
            </w:pPr>
            <w:r>
              <w:rPr>
                <w:rFonts w:hint="eastAsia" w:asciiTheme="majorEastAsia" w:hAnsiTheme="majorEastAsia" w:eastAsiaTheme="majorEastAsia"/>
                <w:sz w:val="24"/>
              </w:rPr>
              <w:t>不管响应结果如何，响应人自行承担所有与参加响应有关的费用。</w:t>
            </w:r>
            <w:r>
              <w:rPr>
                <w:rFonts w:hint="eastAsia" w:asciiTheme="majorEastAsia" w:hAnsiTheme="majorEastAsia" w:eastAsiaTheme="majorEastAsia"/>
                <w:sz w:val="24"/>
                <w:szCs w:val="24"/>
              </w:rPr>
              <w:t>响应人一旦参加本项目响应，即被认为接受了本招标文件的所有条件和规定。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4" w:type="dxa"/>
            <w:gridSpan w:val="3"/>
            <w:vAlign w:val="center"/>
          </w:tcPr>
          <w:p>
            <w:pPr>
              <w:spacing w:line="400" w:lineRule="exact"/>
              <w:rPr>
                <w:rFonts w:asciiTheme="majorEastAsia" w:hAnsiTheme="majorEastAsia" w:eastAsiaTheme="majorEastAsia"/>
                <w:sz w:val="24"/>
              </w:rPr>
            </w:pPr>
            <w:r>
              <w:rPr>
                <w:rFonts w:hint="eastAsia" w:asciiTheme="majorEastAsia" w:hAnsiTheme="majorEastAsia" w:eastAsiaTheme="majorEastAsia"/>
                <w:b/>
                <w:bCs/>
                <w:sz w:val="24"/>
              </w:rPr>
              <w:t>注：本项目响应供应商之间不得存在《中华人民共和国政府采购法实施条例》第十八条禁止的关系。</w:t>
            </w:r>
          </w:p>
        </w:tc>
      </w:tr>
    </w:tbl>
    <w:p>
      <w:pPr>
        <w:spacing w:line="360" w:lineRule="auto"/>
        <w:outlineLvl w:val="0"/>
        <w:rPr>
          <w:rFonts w:asciiTheme="majorEastAsia" w:hAnsiTheme="majorEastAsia" w:eastAsiaTheme="majorEastAsia"/>
          <w:b/>
          <w:sz w:val="28"/>
          <w:szCs w:val="28"/>
        </w:rPr>
      </w:pPr>
    </w:p>
    <w:p>
      <w:pPr>
        <w:pStyle w:val="2"/>
        <w:rPr>
          <w:rFonts w:asciiTheme="majorEastAsia" w:hAnsiTheme="majorEastAsia" w:eastAsiaTheme="majorEastAsia"/>
          <w:b/>
          <w:sz w:val="28"/>
          <w:szCs w:val="28"/>
        </w:rPr>
      </w:pPr>
    </w:p>
    <w:p>
      <w:pPr>
        <w:pStyle w:val="2"/>
        <w:rPr>
          <w:rFonts w:asciiTheme="majorEastAsia" w:hAnsiTheme="majorEastAsia" w:eastAsiaTheme="majorEastAsia"/>
          <w:b/>
          <w:sz w:val="28"/>
          <w:szCs w:val="28"/>
        </w:rPr>
      </w:pPr>
    </w:p>
    <w:p>
      <w:pPr>
        <w:pStyle w:val="2"/>
        <w:rPr>
          <w:rFonts w:asciiTheme="majorEastAsia" w:hAnsiTheme="majorEastAsia" w:eastAsiaTheme="majorEastAsia"/>
          <w:b/>
          <w:sz w:val="28"/>
          <w:szCs w:val="28"/>
        </w:rPr>
      </w:pPr>
    </w:p>
    <w:p>
      <w:pPr>
        <w:pStyle w:val="2"/>
        <w:rPr>
          <w:rFonts w:asciiTheme="majorEastAsia" w:hAnsiTheme="majorEastAsia" w:eastAsiaTheme="majorEastAsia"/>
          <w:b/>
          <w:sz w:val="28"/>
          <w:szCs w:val="28"/>
        </w:rPr>
      </w:pPr>
    </w:p>
    <w:p>
      <w:pPr>
        <w:spacing w:line="360" w:lineRule="auto"/>
        <w:jc w:val="center"/>
        <w:outlineLvl w:val="0"/>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一、说  明</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1.适用法律及范围</w:t>
      </w:r>
    </w:p>
    <w:p>
      <w:pPr>
        <w:spacing w:line="460" w:lineRule="exact"/>
        <w:ind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本次采购及由本次采购产生的合同受中华人民共和国的相关法律、法规制约和保护。</w:t>
      </w:r>
      <w:r>
        <w:rPr>
          <w:rFonts w:hint="eastAsia" w:asciiTheme="majorEastAsia" w:hAnsiTheme="majorEastAsia" w:eastAsiaTheme="majorEastAsia"/>
          <w:sz w:val="24"/>
          <w:szCs w:val="24"/>
        </w:rPr>
        <w:t>本次采购仅适用于第一章《竞争性磋商公告》中所叙述的项目。</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2.定义</w:t>
      </w:r>
    </w:p>
    <w:p>
      <w:pPr>
        <w:numPr>
          <w:ilvl w:val="0"/>
          <w:numId w:val="2"/>
        </w:numPr>
        <w:tabs>
          <w:tab w:val="left" w:pos="360"/>
          <w:tab w:val="clear" w:pos="900"/>
        </w:tabs>
        <w:topLinePunct/>
        <w:spacing w:line="460" w:lineRule="exact"/>
        <w:ind w:left="540" w:hanging="360"/>
        <w:rPr>
          <w:rFonts w:asciiTheme="majorEastAsia" w:hAnsiTheme="majorEastAsia" w:eastAsiaTheme="majorEastAsia"/>
          <w:color w:val="000000" w:themeColor="text1"/>
          <w:kern w:val="0"/>
          <w:sz w:val="24"/>
        </w:rPr>
      </w:pPr>
      <w:r>
        <w:rPr>
          <w:rFonts w:hint="eastAsia" w:asciiTheme="majorEastAsia" w:hAnsiTheme="majorEastAsia" w:eastAsiaTheme="majorEastAsia"/>
          <w:sz w:val="24"/>
          <w:szCs w:val="24"/>
        </w:rPr>
        <w:t>“采购人</w:t>
      </w:r>
      <w:r>
        <w:rPr>
          <w:rFonts w:hint="eastAsia" w:asciiTheme="majorEastAsia" w:hAnsiTheme="majorEastAsia" w:eastAsiaTheme="majorEastAsia"/>
          <w:color w:val="000000" w:themeColor="text1"/>
          <w:sz w:val="24"/>
          <w:szCs w:val="24"/>
        </w:rPr>
        <w:t>”系指</w:t>
      </w:r>
      <w:r>
        <w:rPr>
          <w:rFonts w:hint="eastAsia" w:asciiTheme="majorEastAsia" w:hAnsiTheme="majorEastAsia" w:eastAsiaTheme="majorEastAsia"/>
          <w:color w:val="000000" w:themeColor="text1"/>
          <w:sz w:val="24"/>
          <w:szCs w:val="24"/>
          <w:lang w:eastAsia="zh-CN"/>
        </w:rPr>
        <w:t>临沂市妇幼保健院</w:t>
      </w:r>
      <w:r>
        <w:rPr>
          <w:rFonts w:hint="eastAsia" w:asciiTheme="majorEastAsia" w:hAnsiTheme="majorEastAsia" w:eastAsiaTheme="majorEastAsia"/>
          <w:color w:val="000000" w:themeColor="text1"/>
          <w:kern w:val="0"/>
          <w:sz w:val="24"/>
        </w:rPr>
        <w:t>。</w:t>
      </w:r>
    </w:p>
    <w:p>
      <w:pPr>
        <w:numPr>
          <w:ilvl w:val="0"/>
          <w:numId w:val="2"/>
        </w:numPr>
        <w:tabs>
          <w:tab w:val="left" w:pos="360"/>
          <w:tab w:val="clear" w:pos="900"/>
        </w:tabs>
        <w:topLinePunct/>
        <w:spacing w:line="460" w:lineRule="exact"/>
        <w:ind w:left="540" w:hanging="360"/>
        <w:rPr>
          <w:rFonts w:asciiTheme="majorEastAsia" w:hAnsiTheme="majorEastAsia" w:eastAsiaTheme="majorEastAsia"/>
          <w:sz w:val="24"/>
          <w:szCs w:val="24"/>
        </w:rPr>
      </w:pPr>
      <w:r>
        <w:rPr>
          <w:rFonts w:hint="eastAsia" w:asciiTheme="majorEastAsia" w:hAnsiTheme="majorEastAsia" w:eastAsiaTheme="majorEastAsia"/>
          <w:color w:val="000000" w:themeColor="text1"/>
          <w:sz w:val="24"/>
          <w:szCs w:val="24"/>
        </w:rPr>
        <w:t>“采购代理机构”系指</w:t>
      </w:r>
      <w:r>
        <w:rPr>
          <w:rFonts w:hint="eastAsia" w:cs="宋体" w:asciiTheme="majorEastAsia" w:hAnsiTheme="majorEastAsia" w:eastAsiaTheme="majorEastAsia"/>
          <w:color w:val="000000" w:themeColor="text1"/>
          <w:sz w:val="24"/>
        </w:rPr>
        <w:t>临沂鼎泰招标有限公司</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sz w:val="24"/>
          <w:szCs w:val="24"/>
        </w:rPr>
        <w:t xml:space="preserve">               </w:t>
      </w:r>
    </w:p>
    <w:p>
      <w:pPr>
        <w:numPr>
          <w:ilvl w:val="0"/>
          <w:numId w:val="2"/>
        </w:numPr>
        <w:tabs>
          <w:tab w:val="left" w:pos="360"/>
          <w:tab w:val="clear" w:pos="900"/>
        </w:tabs>
        <w:topLinePunct/>
        <w:spacing w:line="460" w:lineRule="exact"/>
        <w:ind w:left="540" w:hanging="360"/>
        <w:rPr>
          <w:rFonts w:asciiTheme="majorEastAsia" w:hAnsiTheme="majorEastAsia" w:eastAsiaTheme="majorEastAsia"/>
          <w:sz w:val="24"/>
          <w:szCs w:val="24"/>
        </w:rPr>
      </w:pPr>
      <w:r>
        <w:rPr>
          <w:rFonts w:hint="eastAsia" w:asciiTheme="majorEastAsia" w:hAnsiTheme="majorEastAsia" w:eastAsiaTheme="majorEastAsia"/>
          <w:sz w:val="24"/>
          <w:szCs w:val="24"/>
        </w:rPr>
        <w:t>“供应商”</w:t>
      </w:r>
      <w:r>
        <w:rPr>
          <w:rFonts w:hint="eastAsia" w:asciiTheme="majorEastAsia" w:hAnsiTheme="majorEastAsia" w:eastAsiaTheme="majorEastAsia"/>
        </w:rPr>
        <w:t xml:space="preserve"> </w:t>
      </w:r>
      <w:r>
        <w:rPr>
          <w:rFonts w:hint="eastAsia" w:asciiTheme="majorEastAsia" w:hAnsiTheme="majorEastAsia" w:eastAsiaTheme="majorEastAsia"/>
          <w:sz w:val="24"/>
          <w:szCs w:val="24"/>
        </w:rPr>
        <w:t>系指向采购代理机构索取磋商文件并提交响应文件的供应商。</w:t>
      </w:r>
    </w:p>
    <w:p>
      <w:pPr>
        <w:numPr>
          <w:ilvl w:val="0"/>
          <w:numId w:val="2"/>
        </w:numPr>
        <w:tabs>
          <w:tab w:val="left" w:pos="360"/>
          <w:tab w:val="clear" w:pos="900"/>
        </w:tabs>
        <w:topLinePunct/>
        <w:spacing w:line="460" w:lineRule="exact"/>
        <w:ind w:left="540" w:hanging="360"/>
        <w:rPr>
          <w:rFonts w:asciiTheme="majorEastAsia" w:hAnsiTheme="majorEastAsia" w:eastAsiaTheme="majorEastAsia"/>
          <w:sz w:val="24"/>
          <w:szCs w:val="24"/>
        </w:rPr>
      </w:pPr>
      <w:r>
        <w:rPr>
          <w:rFonts w:hint="eastAsia" w:asciiTheme="majorEastAsia" w:hAnsiTheme="majorEastAsia" w:eastAsiaTheme="majorEastAsia"/>
          <w:sz w:val="24"/>
          <w:szCs w:val="24"/>
        </w:rPr>
        <w:t>“成交人”系指由磋商小组评审符合磋商文件要求并向采购人提供货物及服务的企业。</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3.报价费用</w:t>
      </w:r>
    </w:p>
    <w:p>
      <w:pPr>
        <w:topLinePunct/>
        <w:spacing w:line="460" w:lineRule="exact"/>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供应商应自行承担所有与参加报价有关的费用。不论报价的结果如何，采购人、采购代理机构在任何情况下均无义务和责任承担这些费用。</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4.合格的供应商</w:t>
      </w:r>
    </w:p>
    <w:p>
      <w:pPr>
        <w:topLinePunct/>
        <w:spacing w:line="460" w:lineRule="exact"/>
        <w:ind w:firstLine="240" w:firstLineChars="100"/>
        <w:jc w:val="left"/>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1)供应商必须满足本磋商文件第一章《竞争性磋商公告》中的相关要求。</w:t>
      </w:r>
    </w:p>
    <w:p>
      <w:pPr>
        <w:topLinePunct/>
        <w:spacing w:line="460" w:lineRule="exact"/>
        <w:ind w:firstLine="240" w:firstLineChars="100"/>
        <w:jc w:val="left"/>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2) 供应商必须向采购代理机构购买磋商文件并登记备案。</w:t>
      </w:r>
    </w:p>
    <w:p>
      <w:pPr>
        <w:topLinePunct/>
        <w:spacing w:line="460" w:lineRule="exact"/>
        <w:ind w:firstLine="240" w:firstLineChars="100"/>
        <w:jc w:val="left"/>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3) 在以往前三年的政府采购活动中没有违纪、违规、违约等不良行为。</w:t>
      </w:r>
    </w:p>
    <w:p>
      <w:pPr>
        <w:topLinePunct/>
        <w:spacing w:line="460" w:lineRule="exact"/>
        <w:ind w:firstLine="240" w:firstLineChars="100"/>
        <w:jc w:val="left"/>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4) 供应商必须遵守国家、山东省、临沂市有关的法律、法规和政策。</w:t>
      </w:r>
    </w:p>
    <w:p>
      <w:pPr>
        <w:topLinePunct/>
        <w:spacing w:line="460" w:lineRule="exact"/>
        <w:ind w:firstLine="240" w:firstLineChars="100"/>
        <w:jc w:val="left"/>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5) 磋商文件的其它规定和要求。</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5.报价有效期</w:t>
      </w:r>
    </w:p>
    <w:p>
      <w:pPr>
        <w:spacing w:line="480" w:lineRule="exact"/>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响应文件的有效期为</w:t>
      </w:r>
      <w:r>
        <w:rPr>
          <w:rFonts w:hint="eastAsia" w:asciiTheme="majorEastAsia" w:hAnsiTheme="majorEastAsia" w:eastAsiaTheme="majorEastAsia"/>
          <w:sz w:val="24"/>
          <w:szCs w:val="24"/>
          <w:u w:val="single"/>
        </w:rPr>
        <w:t>磋商日起60日内</w:t>
      </w:r>
      <w:r>
        <w:rPr>
          <w:rFonts w:hint="eastAsia" w:asciiTheme="majorEastAsia" w:hAnsiTheme="majorEastAsia" w:eastAsiaTheme="majorEastAsia"/>
          <w:sz w:val="24"/>
          <w:szCs w:val="24"/>
        </w:rPr>
        <w:t>，磋商后在有效期内不得撤回报价。特殊情况下，在报价有效期满之前，采购代理机构可以以书面形式要求供应商同意延长报价有效期。供应商可以以书面形式拒绝或接受上述要求。但不得修改响应文件的实质性内容。</w:t>
      </w:r>
    </w:p>
    <w:p>
      <w:pPr>
        <w:pStyle w:val="98"/>
        <w:widowControl w:val="0"/>
        <w:topLinePunct/>
        <w:spacing w:before="0" w:beforeAutospacing="0" w:after="0" w:afterAutospacing="0" w:line="500" w:lineRule="exact"/>
        <w:rPr>
          <w:rFonts w:asciiTheme="majorEastAsia" w:hAnsiTheme="majorEastAsia" w:eastAsiaTheme="majorEastAsia"/>
          <w:sz w:val="28"/>
          <w:szCs w:val="28"/>
        </w:rPr>
      </w:pPr>
    </w:p>
    <w:p>
      <w:pPr>
        <w:spacing w:line="460" w:lineRule="exact"/>
        <w:ind w:firstLine="3626" w:firstLineChars="1290"/>
        <w:outlineLvl w:val="0"/>
        <w:rPr>
          <w:rFonts w:asciiTheme="majorEastAsia" w:hAnsiTheme="majorEastAsia" w:eastAsiaTheme="majorEastAsia"/>
          <w:b/>
          <w:sz w:val="28"/>
          <w:szCs w:val="28"/>
        </w:rPr>
      </w:pPr>
      <w:r>
        <w:rPr>
          <w:rFonts w:hint="eastAsia" w:asciiTheme="majorEastAsia" w:hAnsiTheme="majorEastAsia" w:eastAsiaTheme="majorEastAsia"/>
          <w:b/>
          <w:sz w:val="28"/>
          <w:szCs w:val="28"/>
        </w:rPr>
        <w:t>二、磋商文件</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6.磋商文件的组成</w:t>
      </w:r>
    </w:p>
    <w:p>
      <w:pPr>
        <w:topLinePunct/>
        <w:spacing w:line="460" w:lineRule="exact"/>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1) 供应商应仔细检查磋商文件是否齐全，如有缺漏，请立即与采购代理机构联系解决。磋商文件包括下列内容：</w:t>
      </w:r>
    </w:p>
    <w:p>
      <w:pPr>
        <w:numPr>
          <w:ilvl w:val="1"/>
          <w:numId w:val="3"/>
        </w:numPr>
        <w:tabs>
          <w:tab w:val="left" w:pos="540"/>
          <w:tab w:val="clear" w:pos="1860"/>
        </w:tabs>
        <w:topLinePunct/>
        <w:spacing w:line="460" w:lineRule="exact"/>
        <w:ind w:left="1620" w:hanging="108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竞争性磋商公告</w:t>
      </w:r>
    </w:p>
    <w:p>
      <w:pPr>
        <w:numPr>
          <w:ilvl w:val="1"/>
          <w:numId w:val="3"/>
        </w:numPr>
        <w:tabs>
          <w:tab w:val="left" w:pos="1620"/>
          <w:tab w:val="clear" w:pos="1860"/>
        </w:tabs>
        <w:topLinePunct/>
        <w:spacing w:line="460" w:lineRule="exact"/>
        <w:ind w:hanging="132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供应商须知</w:t>
      </w:r>
    </w:p>
    <w:p>
      <w:pPr>
        <w:numPr>
          <w:ilvl w:val="1"/>
          <w:numId w:val="3"/>
        </w:numPr>
        <w:tabs>
          <w:tab w:val="left" w:pos="1620"/>
          <w:tab w:val="clear" w:pos="1860"/>
        </w:tabs>
        <w:topLinePunct/>
        <w:spacing w:line="460" w:lineRule="exact"/>
        <w:ind w:hanging="132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项目说明、要求</w:t>
      </w:r>
    </w:p>
    <w:p>
      <w:pPr>
        <w:numPr>
          <w:ilvl w:val="1"/>
          <w:numId w:val="3"/>
        </w:numPr>
        <w:tabs>
          <w:tab w:val="left" w:pos="1620"/>
          <w:tab w:val="clear" w:pos="1860"/>
        </w:tabs>
        <w:topLinePunct/>
        <w:spacing w:line="460" w:lineRule="exact"/>
        <w:ind w:hanging="132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授予合同及参考范本</w:t>
      </w:r>
    </w:p>
    <w:p>
      <w:pPr>
        <w:numPr>
          <w:ilvl w:val="1"/>
          <w:numId w:val="3"/>
        </w:numPr>
        <w:tabs>
          <w:tab w:val="left" w:pos="1620"/>
          <w:tab w:val="clear" w:pos="1860"/>
        </w:tabs>
        <w:topLinePunct/>
        <w:spacing w:line="460" w:lineRule="exact"/>
        <w:ind w:hanging="132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附件</w:t>
      </w:r>
    </w:p>
    <w:p>
      <w:pPr>
        <w:topLinePunct/>
        <w:spacing w:line="460" w:lineRule="exact"/>
        <w:ind w:firstLine="240" w:firstLineChars="100"/>
        <w:jc w:val="left"/>
        <w:rPr>
          <w:rFonts w:asciiTheme="majorEastAsia" w:hAnsiTheme="majorEastAsia" w:eastAsiaTheme="majorEastAsia"/>
          <w:sz w:val="24"/>
        </w:rPr>
      </w:pPr>
      <w:r>
        <w:rPr>
          <w:rFonts w:hint="eastAsia" w:asciiTheme="majorEastAsia" w:hAnsiTheme="majorEastAsia" w:eastAsiaTheme="majorEastAsia"/>
          <w:sz w:val="24"/>
          <w:szCs w:val="24"/>
        </w:rPr>
        <w:t>2)供应商获取磋商文件后，应认真阅读磋商文件中所有的事项、格式、条款和规范等要求。如果供应商没有按照磋商文件要求和规定编制响应文件及提交全部资料，或者响应文件没有对磋商文件在各方面都做出实质性响应，其风险应由供应商承担；并根据有关条款规定，其报价有可能被拒绝。</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7.磋商文件的澄清、修改、补充、质疑</w:t>
      </w:r>
    </w:p>
    <w:p>
      <w:pPr>
        <w:tabs>
          <w:tab w:val="left" w:pos="540"/>
        </w:tabs>
        <w:topLinePunct/>
        <w:spacing w:line="460" w:lineRule="exact"/>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1) 供应商若对磋商文件有任何疑问，请于法律规定期限以前，按照规定格式以书面形式（加盖供应商单位公章，否则不予答复）向采购代理机构提出澄清要求；若没有，视为供应商对磋商文件无任何疑义。采购代理机构对</w:t>
      </w:r>
      <w:r>
        <w:rPr>
          <w:rFonts w:hint="eastAsia" w:asciiTheme="majorEastAsia" w:hAnsiTheme="majorEastAsia" w:eastAsiaTheme="majorEastAsia"/>
          <w:sz w:val="24"/>
          <w:szCs w:val="24"/>
          <w:u w:val="single"/>
        </w:rPr>
        <w:t>磋商文件发售截止时间前</w:t>
      </w:r>
      <w:r>
        <w:rPr>
          <w:rFonts w:hint="eastAsia" w:asciiTheme="majorEastAsia" w:hAnsiTheme="majorEastAsia" w:eastAsiaTheme="majorEastAsia"/>
          <w:sz w:val="24"/>
          <w:szCs w:val="24"/>
        </w:rPr>
        <w:t>收到的任何澄清要求将以书面形式予以答复，答复中包括所问问题，但不包括问题的来源。</w:t>
      </w:r>
    </w:p>
    <w:p>
      <w:pPr>
        <w:topLinePunct/>
        <w:spacing w:line="460" w:lineRule="exact"/>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2) 在报价截止时间前，无论出于何种原因，采购代理机构均可主动地或在解答供应商提出的澄清问题时对磋商文件进行修改。</w:t>
      </w:r>
    </w:p>
    <w:p>
      <w:pPr>
        <w:topLinePunct/>
        <w:spacing w:line="460" w:lineRule="exact"/>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3) 磋商文件的修改将以书面形式或在</w:t>
      </w:r>
      <w:r>
        <w:rPr>
          <w:rFonts w:hint="eastAsia" w:asciiTheme="majorEastAsia" w:hAnsiTheme="majorEastAsia" w:eastAsiaTheme="majorEastAsia"/>
          <w:sz w:val="24"/>
        </w:rPr>
        <w:t>中国山东政府采购网</w:t>
      </w:r>
      <w:r>
        <w:rPr>
          <w:rFonts w:hint="eastAsia" w:asciiTheme="majorEastAsia" w:hAnsiTheme="majorEastAsia" w:eastAsiaTheme="majorEastAsia"/>
          <w:sz w:val="24"/>
          <w:szCs w:val="24"/>
        </w:rPr>
        <w:t>上通知所有购买同一磋商文件的供应商，并对其具有约束力。供应商应在收到该修改文件后1日内以书面形式回复采购代理机构，确认已收到该修改文件。</w:t>
      </w:r>
      <w:r>
        <w:rPr>
          <w:rFonts w:hint="eastAsia" w:asciiTheme="majorEastAsia" w:hAnsiTheme="majorEastAsia" w:eastAsiaTheme="majorEastAsia"/>
          <w:sz w:val="24"/>
          <w:szCs w:val="24"/>
          <w:u w:val="single"/>
        </w:rPr>
        <w:t>（若在政府采购网上发出通知，则视为所有供应商都已收到磋商文件的澄清、修改、补充等内容）。</w:t>
      </w:r>
    </w:p>
    <w:p>
      <w:pPr>
        <w:topLinePunct/>
        <w:spacing w:line="460" w:lineRule="exact"/>
        <w:ind w:firstLine="360" w:firstLineChars="150"/>
        <w:rPr>
          <w:rFonts w:asciiTheme="majorEastAsia" w:hAnsiTheme="majorEastAsia" w:eastAsiaTheme="majorEastAsia"/>
          <w:sz w:val="24"/>
        </w:rPr>
      </w:pPr>
      <w:r>
        <w:rPr>
          <w:rFonts w:hint="eastAsia" w:asciiTheme="majorEastAsia" w:hAnsiTheme="majorEastAsia" w:eastAsiaTheme="majorEastAsia"/>
          <w:sz w:val="24"/>
          <w:szCs w:val="24"/>
        </w:rPr>
        <w:t xml:space="preserve">4) </w:t>
      </w:r>
      <w:r>
        <w:rPr>
          <w:rFonts w:hint="eastAsia" w:asciiTheme="majorEastAsia" w:hAnsiTheme="majorEastAsia" w:eastAsiaTheme="majorEastAsia"/>
          <w:sz w:val="24"/>
        </w:rPr>
        <w:t>磋商文件的澄清、修改、补充等内容均以书面形式或在中国山东政府采购网上通知明确的内容为准。当磋商文件、磋商文件的澄清、修改、补充等在同一内容的表述上不一致时，以最后发出的书面形式或在中国山东政府采购网上的通知为准</w:t>
      </w:r>
      <w:r>
        <w:rPr>
          <w:rFonts w:hint="eastAsia" w:asciiTheme="majorEastAsia" w:hAnsiTheme="majorEastAsia" w:eastAsiaTheme="majorEastAsia"/>
          <w:sz w:val="24"/>
          <w:u w:val="single"/>
        </w:rPr>
        <w:t>（若在政府采购网上发出通知，则视为所有供应商都已收到磋商文件的澄清、修改、补充等内容）。</w:t>
      </w:r>
    </w:p>
    <w:p>
      <w:pPr>
        <w:topLinePunct/>
        <w:spacing w:line="460" w:lineRule="exact"/>
        <w:ind w:firstLine="360" w:firstLineChars="150"/>
        <w:rPr>
          <w:rFonts w:asciiTheme="majorEastAsia" w:hAnsiTheme="majorEastAsia" w:eastAsiaTheme="majorEastAsia"/>
          <w:sz w:val="24"/>
          <w:szCs w:val="24"/>
          <w:u w:val="single"/>
        </w:rPr>
      </w:pPr>
      <w:r>
        <w:rPr>
          <w:rFonts w:hint="eastAsia" w:asciiTheme="majorEastAsia" w:hAnsiTheme="majorEastAsia" w:eastAsiaTheme="majorEastAsia"/>
          <w:sz w:val="24"/>
          <w:szCs w:val="24"/>
        </w:rPr>
        <w:t>5) 为使供应商编写响应文件时有充分的时间对磋商文件的澄清、修改、补充等内容进行研究，采购代理机构有权推迟提交响应文件截止时间，但至少应当在磋商文件要求提交响应文件的截止时间五日前，将变更时间书面通知所有磋商文件收受人，并将此变更书面或在中国山东政府采购网上通知所有购买同一磋商文件的供应商。</w:t>
      </w:r>
      <w:r>
        <w:rPr>
          <w:rFonts w:hint="eastAsia" w:asciiTheme="majorEastAsia" w:hAnsiTheme="majorEastAsia" w:eastAsiaTheme="majorEastAsia"/>
          <w:sz w:val="24"/>
          <w:szCs w:val="24"/>
          <w:u w:val="single"/>
        </w:rPr>
        <w:t>（若在政府采购网上发出通知，则视为所有供应商都已收到磋商文件的澄清、修改、补充等内容）。</w:t>
      </w:r>
    </w:p>
    <w:p>
      <w:pPr>
        <w:widowControl/>
        <w:spacing w:line="500" w:lineRule="exact"/>
        <w:ind w:firstLine="240" w:firstLineChars="1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6）响应</w:t>
      </w:r>
      <w:r>
        <w:rPr>
          <w:rFonts w:cs="宋体" w:asciiTheme="majorEastAsia" w:hAnsiTheme="majorEastAsia" w:eastAsiaTheme="majorEastAsia"/>
          <w:kern w:val="0"/>
          <w:sz w:val="24"/>
        </w:rPr>
        <w:t>供应商对政府采购活动事项有疑问的，可以向采购人和采购代理机构提出询问，采购人和采购代理机构将依法作出答复，但答复的内容不涉及商业秘密。</w:t>
      </w:r>
    </w:p>
    <w:p>
      <w:pPr>
        <w:widowControl/>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a)供应商认为磋商文件、采购过程、成交或者成交结果使自己的权益受到损害的，可以在知道或者应知其权益受到损害之日起7个工作日内，以书面形式向采购人、采购代理机构提出质疑。供应商应在法定质疑期内一次性提出针对同一采购程序环节的质疑。</w:t>
      </w:r>
    </w:p>
    <w:p>
      <w:pPr>
        <w:widowControl/>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b)供应商提出质疑应当提交质疑函和必要的证明材料。质疑函应当包括下列内容：</w:t>
      </w:r>
    </w:p>
    <w:p>
      <w:pPr>
        <w:widowControl/>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（一）供应商的姓名或者名称、地址、邮编、联系人及联系电话；</w:t>
      </w:r>
    </w:p>
    <w:p>
      <w:pPr>
        <w:widowControl/>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（二）质疑项目的名称、编号；</w:t>
      </w:r>
    </w:p>
    <w:p>
      <w:pPr>
        <w:widowControl/>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（三）具体、明确的质疑事项和与质疑事项相关的请求；</w:t>
      </w:r>
    </w:p>
    <w:p>
      <w:pPr>
        <w:widowControl/>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（四）事实依据；</w:t>
      </w:r>
    </w:p>
    <w:p>
      <w:pPr>
        <w:widowControl/>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（五）必要的法律依据；</w:t>
      </w:r>
    </w:p>
    <w:p>
      <w:pPr>
        <w:widowControl/>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（六）提出质疑的日期。</w:t>
      </w:r>
    </w:p>
    <w:p>
      <w:pPr>
        <w:widowControl/>
        <w:spacing w:line="500" w:lineRule="exact"/>
        <w:ind w:firstLine="480" w:firstLineChars="200"/>
        <w:jc w:val="left"/>
        <w:rPr>
          <w:rFonts w:cs="宋体" w:asciiTheme="majorEastAsia" w:hAnsiTheme="majorEastAsia" w:eastAsiaTheme="majorEastAsia"/>
          <w:kern w:val="0"/>
          <w:sz w:val="24"/>
          <w:szCs w:val="22"/>
        </w:rPr>
      </w:pPr>
      <w:r>
        <w:rPr>
          <w:rFonts w:hint="eastAsia" w:cs="宋体" w:asciiTheme="majorEastAsia" w:hAnsiTheme="majorEastAsia" w:eastAsiaTheme="majorEastAsia"/>
          <w:kern w:val="0"/>
          <w:sz w:val="24"/>
          <w:szCs w:val="22"/>
        </w:rPr>
        <w:t>供应商为自然人的，应当由本人签字；供应商为法人或者其他组织的，应当由法定代表人、主要负责人，或者其授权代表签字或者盖章，并加盖公章。</w:t>
      </w:r>
    </w:p>
    <w:p>
      <w:pPr>
        <w:widowControl/>
        <w:spacing w:line="500" w:lineRule="exact"/>
        <w:ind w:firstLine="480" w:firstLineChars="200"/>
        <w:jc w:val="left"/>
        <w:rPr>
          <w:rFonts w:cs="宋体" w:asciiTheme="majorEastAsia" w:hAnsiTheme="majorEastAsia" w:eastAsiaTheme="majorEastAsia"/>
          <w:kern w:val="0"/>
          <w:sz w:val="24"/>
          <w:szCs w:val="22"/>
        </w:rPr>
      </w:pPr>
      <w:r>
        <w:rPr>
          <w:rFonts w:cs="宋体" w:asciiTheme="majorEastAsia" w:hAnsiTheme="majorEastAsia" w:eastAsiaTheme="majorEastAsia"/>
          <w:kern w:val="0"/>
          <w:sz w:val="24"/>
          <w:szCs w:val="22"/>
        </w:rPr>
        <w:t>质疑文件应按照</w:t>
      </w:r>
      <w:r>
        <w:rPr>
          <w:rFonts w:hint="eastAsia" w:cs="宋体" w:asciiTheme="majorEastAsia" w:hAnsiTheme="majorEastAsia" w:eastAsiaTheme="majorEastAsia"/>
          <w:kern w:val="0"/>
          <w:sz w:val="24"/>
          <w:szCs w:val="22"/>
        </w:rPr>
        <w:t>上</w:t>
      </w:r>
      <w:r>
        <w:rPr>
          <w:rFonts w:cs="宋体" w:asciiTheme="majorEastAsia" w:hAnsiTheme="majorEastAsia" w:eastAsiaTheme="majorEastAsia"/>
          <w:kern w:val="0"/>
          <w:sz w:val="24"/>
          <w:szCs w:val="22"/>
        </w:rPr>
        <w:t>列格式制作并书面送达、签字确认，否则，其他任何方式采购代理机构不予受理</w:t>
      </w:r>
      <w:r>
        <w:rPr>
          <w:rFonts w:hint="eastAsia" w:cs="宋体" w:asciiTheme="majorEastAsia" w:hAnsiTheme="majorEastAsia" w:eastAsiaTheme="majorEastAsia"/>
          <w:kern w:val="0"/>
          <w:sz w:val="24"/>
          <w:szCs w:val="22"/>
        </w:rPr>
        <w:t>。质疑投诉处理按中华人民共和国财政部令第 94 号《政府采购质疑和投诉办法》执行。</w:t>
      </w:r>
    </w:p>
    <w:p>
      <w:pPr>
        <w:widowControl/>
        <w:spacing w:line="500" w:lineRule="exact"/>
        <w:ind w:firstLine="480" w:firstLineChars="200"/>
        <w:jc w:val="left"/>
        <w:rPr>
          <w:rFonts w:cs="宋体" w:asciiTheme="majorEastAsia" w:hAnsiTheme="majorEastAsia" w:eastAsiaTheme="majorEastAsia"/>
          <w:kern w:val="0"/>
          <w:sz w:val="24"/>
          <w:szCs w:val="22"/>
        </w:rPr>
      </w:pPr>
      <w:r>
        <w:rPr>
          <w:rFonts w:hint="eastAsia" w:cs="宋体" w:asciiTheme="majorEastAsia" w:hAnsiTheme="majorEastAsia" w:eastAsiaTheme="majorEastAsia"/>
          <w:kern w:val="0"/>
          <w:sz w:val="24"/>
        </w:rPr>
        <w:t>c)响应</w:t>
      </w:r>
      <w:r>
        <w:rPr>
          <w:rFonts w:cs="宋体" w:asciiTheme="majorEastAsia" w:hAnsiTheme="majorEastAsia" w:eastAsiaTheme="majorEastAsia"/>
          <w:kern w:val="0"/>
          <w:sz w:val="24"/>
        </w:rPr>
        <w:t>供应商不得虚假质疑和恶意质疑，并对质疑内容的真实性承担责任。</w:t>
      </w:r>
      <w:r>
        <w:rPr>
          <w:rFonts w:hint="eastAsia" w:cs="宋体" w:asciiTheme="majorEastAsia" w:hAnsiTheme="majorEastAsia" w:eastAsiaTheme="majorEastAsia"/>
          <w:kern w:val="0"/>
          <w:sz w:val="24"/>
        </w:rPr>
        <w:t>响应</w:t>
      </w:r>
      <w:r>
        <w:rPr>
          <w:rFonts w:cs="宋体" w:asciiTheme="majorEastAsia" w:hAnsiTheme="majorEastAsia" w:eastAsiaTheme="majorEastAsia"/>
          <w:kern w:val="0"/>
          <w:sz w:val="24"/>
        </w:rPr>
        <w:t>供应商或者其他利害关系人通过捏造事实、伪造证明材料等方式提出异议或投诉，阻碍采购活动正常进行的，属于严重不良行为，采购人和采购代理机构将提请财政部门列入不良</w:t>
      </w:r>
      <w:r>
        <w:rPr>
          <w:rFonts w:cs="宋体" w:asciiTheme="majorEastAsia" w:hAnsiTheme="majorEastAsia" w:eastAsiaTheme="majorEastAsia"/>
          <w:kern w:val="0"/>
          <w:sz w:val="24"/>
          <w:szCs w:val="22"/>
        </w:rPr>
        <w:t>行为记录名单，并依法予以处罚。</w:t>
      </w:r>
    </w:p>
    <w:p>
      <w:pPr>
        <w:widowControl/>
        <w:spacing w:line="500" w:lineRule="exact"/>
        <w:ind w:firstLine="480" w:firstLineChars="200"/>
        <w:jc w:val="left"/>
        <w:rPr>
          <w:rFonts w:cs="宋体" w:asciiTheme="majorEastAsia" w:hAnsiTheme="majorEastAsia" w:eastAsiaTheme="majorEastAsia"/>
          <w:kern w:val="0"/>
          <w:sz w:val="24"/>
          <w:szCs w:val="22"/>
        </w:rPr>
      </w:pPr>
      <w:r>
        <w:rPr>
          <w:rFonts w:hint="eastAsia" w:cs="宋体" w:asciiTheme="majorEastAsia" w:hAnsiTheme="majorEastAsia" w:eastAsiaTheme="majorEastAsia"/>
          <w:kern w:val="0"/>
          <w:sz w:val="24"/>
          <w:szCs w:val="22"/>
        </w:rPr>
        <w:t>d)质疑人提出质疑时，应当按照被质疑人与质疑事项有关的供应商数量提供质疑书副本。被质疑人受理质疑后，认为质疑事项涉及其他当事人的，将质疑书副本及时送达相关当事人。相关当事人应当在收到质疑书后三个工作日内作出书面说明，并提交相关证据和其他有关材料。</w:t>
      </w:r>
    </w:p>
    <w:p>
      <w:pPr>
        <w:widowControl/>
        <w:spacing w:line="384" w:lineRule="auto"/>
        <w:ind w:firstLine="480" w:firstLineChars="200"/>
        <w:jc w:val="left"/>
        <w:rPr>
          <w:rFonts w:asciiTheme="majorEastAsia" w:hAnsiTheme="majorEastAsia" w:eastAsiaTheme="majorEastAsia"/>
        </w:rPr>
      </w:pPr>
      <w:r>
        <w:rPr>
          <w:rFonts w:hint="eastAsia" w:cs="宋体" w:asciiTheme="majorEastAsia" w:hAnsiTheme="majorEastAsia" w:eastAsiaTheme="majorEastAsia"/>
          <w:kern w:val="0"/>
          <w:sz w:val="24"/>
        </w:rPr>
        <w:t>e）</w:t>
      </w:r>
      <w:r>
        <w:rPr>
          <w:rFonts w:cs="宋体" w:asciiTheme="majorEastAsia" w:hAnsiTheme="majorEastAsia" w:eastAsiaTheme="majorEastAsia"/>
          <w:kern w:val="0"/>
          <w:sz w:val="24"/>
        </w:rPr>
        <w:t>采购人和采购代理机构在收到</w:t>
      </w:r>
      <w:r>
        <w:rPr>
          <w:rFonts w:hint="eastAsia" w:cs="宋体" w:asciiTheme="majorEastAsia" w:hAnsiTheme="majorEastAsia" w:eastAsiaTheme="majorEastAsia"/>
          <w:kern w:val="0"/>
          <w:sz w:val="24"/>
        </w:rPr>
        <w:t>响应</w:t>
      </w:r>
      <w:r>
        <w:rPr>
          <w:rFonts w:cs="宋体" w:asciiTheme="majorEastAsia" w:hAnsiTheme="majorEastAsia" w:eastAsiaTheme="majorEastAsia"/>
          <w:kern w:val="0"/>
          <w:sz w:val="24"/>
        </w:rPr>
        <w:t>供应商的书面质疑后将及时组织调查核实，在7个工作日内作出答复，并以书面形式通知质疑</w:t>
      </w:r>
      <w:r>
        <w:rPr>
          <w:rFonts w:hint="eastAsia" w:cs="宋体" w:asciiTheme="majorEastAsia" w:hAnsiTheme="majorEastAsia" w:eastAsiaTheme="majorEastAsia"/>
          <w:kern w:val="0"/>
          <w:sz w:val="24"/>
        </w:rPr>
        <w:t>响应</w:t>
      </w:r>
      <w:r>
        <w:rPr>
          <w:rFonts w:cs="宋体" w:asciiTheme="majorEastAsia" w:hAnsiTheme="majorEastAsia" w:eastAsiaTheme="majorEastAsia"/>
          <w:kern w:val="0"/>
          <w:sz w:val="24"/>
        </w:rPr>
        <w:t>供应商和其他有关</w:t>
      </w:r>
      <w:r>
        <w:rPr>
          <w:rFonts w:hint="eastAsia" w:cs="宋体" w:asciiTheme="majorEastAsia" w:hAnsiTheme="majorEastAsia" w:eastAsiaTheme="majorEastAsia"/>
          <w:kern w:val="0"/>
          <w:sz w:val="24"/>
        </w:rPr>
        <w:t>响应</w:t>
      </w:r>
      <w:r>
        <w:rPr>
          <w:rFonts w:cs="宋体" w:asciiTheme="majorEastAsia" w:hAnsiTheme="majorEastAsia" w:eastAsiaTheme="majorEastAsia"/>
          <w:kern w:val="0"/>
          <w:sz w:val="24"/>
        </w:rPr>
        <w:t>供应商，答复的内容不涉及商业秘密。</w:t>
      </w:r>
    </w:p>
    <w:p>
      <w:pPr>
        <w:topLinePunct/>
        <w:spacing w:line="500" w:lineRule="exact"/>
        <w:ind w:firstLine="360" w:firstLineChars="15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 自磋商文件发布至正式磋商前，供应商除就磋商文件问题与采购人进行咨询外，禁止以任何其他方式与采购人进行沟通接触，否则予以取消报价资格。</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8.</w:t>
      </w:r>
      <w:r>
        <w:rPr>
          <w:rFonts w:hint="eastAsia" w:asciiTheme="majorEastAsia" w:hAnsiTheme="majorEastAsia" w:eastAsiaTheme="majorEastAsia"/>
          <w:b/>
          <w:bCs/>
          <w:sz w:val="24"/>
          <w:szCs w:val="24"/>
        </w:rPr>
        <w:t>答疑会和现场考察</w:t>
      </w:r>
    </w:p>
    <w:p>
      <w:pPr>
        <w:topLinePunct/>
        <w:spacing w:line="460" w:lineRule="exact"/>
        <w:ind w:left="1" w:firstLine="357" w:firstLineChars="149"/>
        <w:rPr>
          <w:rFonts w:asciiTheme="majorEastAsia" w:hAnsiTheme="majorEastAsia" w:eastAsiaTheme="majorEastAsia"/>
          <w:sz w:val="24"/>
          <w:szCs w:val="24"/>
        </w:rPr>
      </w:pPr>
      <w:r>
        <w:rPr>
          <w:rFonts w:hint="eastAsia" w:asciiTheme="majorEastAsia" w:hAnsiTheme="majorEastAsia" w:eastAsiaTheme="majorEastAsia"/>
          <w:sz w:val="24"/>
          <w:szCs w:val="24"/>
        </w:rPr>
        <w:t>1) 根据采购项目和具体情况，可以组织召开磋商前答疑会或组织供应商对项目现场进行考察。答疑会或进行现场考察的时间，将以书面形式通知所有购买了磋商文件的供应商。</w:t>
      </w:r>
    </w:p>
    <w:p>
      <w:pPr>
        <w:topLinePunct/>
        <w:spacing w:line="460" w:lineRule="exact"/>
        <w:ind w:left="719" w:leftChars="171" w:hanging="360" w:hangingChars="150"/>
        <w:rPr>
          <w:rFonts w:asciiTheme="majorEastAsia" w:hAnsiTheme="majorEastAsia" w:eastAsiaTheme="majorEastAsia"/>
          <w:sz w:val="24"/>
          <w:szCs w:val="24"/>
        </w:rPr>
      </w:pPr>
      <w:r>
        <w:rPr>
          <w:rFonts w:hint="eastAsia" w:asciiTheme="majorEastAsia" w:hAnsiTheme="majorEastAsia" w:eastAsiaTheme="majorEastAsia"/>
          <w:sz w:val="24"/>
          <w:szCs w:val="24"/>
        </w:rPr>
        <w:t>2) 供应商考察现场所发生的一切费用由供应商自己承担。</w:t>
      </w:r>
    </w:p>
    <w:p>
      <w:pPr>
        <w:spacing w:line="460" w:lineRule="exact"/>
        <w:rPr>
          <w:rFonts w:asciiTheme="majorEastAsia" w:hAnsiTheme="majorEastAsia" w:eastAsiaTheme="majorEastAsia"/>
          <w:sz w:val="24"/>
          <w:szCs w:val="24"/>
        </w:rPr>
      </w:pPr>
      <w:r>
        <w:rPr>
          <w:rFonts w:hint="eastAsia" w:asciiTheme="majorEastAsia" w:hAnsiTheme="majorEastAsia" w:eastAsiaTheme="majorEastAsia"/>
          <w:b/>
          <w:sz w:val="24"/>
          <w:szCs w:val="24"/>
        </w:rPr>
        <w:t>9.解释权</w:t>
      </w:r>
    </w:p>
    <w:p>
      <w:pPr>
        <w:topLinePunct/>
        <w:spacing w:line="460" w:lineRule="exact"/>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1) 本次采购的最终解释权归采购代理机构，当对一个问题有多种解释时以采购代理机构的书面解释为准。</w:t>
      </w:r>
    </w:p>
    <w:p>
      <w:pPr>
        <w:topLinePunct/>
        <w:spacing w:line="460" w:lineRule="exact"/>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2) 磋商文件未做须知明示，而又有相关法律、法规规定的，以涉及到的相关法律、法规的规定为依据处理。</w:t>
      </w:r>
    </w:p>
    <w:p>
      <w:pPr>
        <w:spacing w:line="460" w:lineRule="exact"/>
        <w:rPr>
          <w:rFonts w:asciiTheme="majorEastAsia" w:hAnsiTheme="majorEastAsia" w:eastAsiaTheme="majorEastAsia"/>
          <w:sz w:val="24"/>
          <w:szCs w:val="24"/>
        </w:rPr>
      </w:pPr>
      <w:r>
        <w:rPr>
          <w:rFonts w:hint="eastAsia" w:asciiTheme="majorEastAsia" w:hAnsiTheme="majorEastAsia" w:eastAsiaTheme="majorEastAsia"/>
          <w:b/>
          <w:sz w:val="24"/>
          <w:szCs w:val="24"/>
        </w:rPr>
        <w:t>10.</w:t>
      </w:r>
      <w:r>
        <w:rPr>
          <w:rFonts w:hint="eastAsia" w:asciiTheme="majorEastAsia" w:hAnsiTheme="majorEastAsia" w:eastAsiaTheme="majorEastAsia"/>
          <w:b/>
          <w:bCs/>
          <w:sz w:val="24"/>
          <w:szCs w:val="24"/>
        </w:rPr>
        <w:t>磋商文件的约束力</w:t>
      </w:r>
    </w:p>
    <w:p>
      <w:pPr>
        <w:spacing w:line="460" w:lineRule="exact"/>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供应商一旦参加本项目报价，即被认为接受了本磋商文件的所有条件和规定。</w:t>
      </w:r>
    </w:p>
    <w:p>
      <w:pPr>
        <w:topLinePunct/>
        <w:spacing w:line="460" w:lineRule="exact"/>
        <w:rPr>
          <w:rFonts w:asciiTheme="majorEastAsia" w:hAnsiTheme="majorEastAsia" w:eastAsiaTheme="majorEastAsia"/>
          <w:sz w:val="24"/>
          <w:szCs w:val="24"/>
        </w:rPr>
      </w:pPr>
    </w:p>
    <w:p>
      <w:pPr>
        <w:spacing w:line="460" w:lineRule="exact"/>
        <w:jc w:val="center"/>
        <w:outlineLvl w:val="0"/>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三、响应文件的编制</w:t>
      </w:r>
    </w:p>
    <w:p>
      <w:pPr>
        <w:pStyle w:val="5"/>
      </w:pPr>
    </w:p>
    <w:p>
      <w:pPr>
        <w:pStyle w:val="2"/>
        <w:spacing w:after="0"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11.响应文件的组成</w:t>
      </w:r>
    </w:p>
    <w:p>
      <w:pPr>
        <w:topLinePunct/>
        <w:spacing w:line="360" w:lineRule="auto"/>
        <w:ind w:firstLine="360" w:firstLineChars="150"/>
        <w:rPr>
          <w:rFonts w:asciiTheme="majorEastAsia" w:hAnsiTheme="majorEastAsia" w:eastAsiaTheme="majorEastAsia"/>
          <w:sz w:val="24"/>
        </w:rPr>
      </w:pPr>
      <w:r>
        <w:rPr>
          <w:rFonts w:hint="eastAsia" w:asciiTheme="majorEastAsia" w:hAnsiTheme="majorEastAsia" w:eastAsiaTheme="majorEastAsia"/>
          <w:sz w:val="24"/>
          <w:szCs w:val="24"/>
        </w:rPr>
        <w:t xml:space="preserve">1) </w:t>
      </w:r>
      <w:r>
        <w:rPr>
          <w:rFonts w:hint="eastAsia" w:asciiTheme="majorEastAsia" w:hAnsiTheme="majorEastAsia" w:eastAsiaTheme="majorEastAsia"/>
          <w:sz w:val="24"/>
        </w:rPr>
        <w:t>供应商编制的响应文件必须符合有关法律、法规的要求。</w:t>
      </w:r>
      <w:r>
        <w:rPr>
          <w:rFonts w:hint="eastAsia" w:asciiTheme="majorEastAsia" w:hAnsiTheme="majorEastAsia" w:eastAsiaTheme="majorEastAsia"/>
          <w:sz w:val="24"/>
          <w:szCs w:val="24"/>
        </w:rPr>
        <w:t>供应商应仔细阅读磋商文件的所有内容，按磋商文件的要求提供响应文件，并保证所提供的全部资料的真实性、准确性及完整性，以使其报价对磋商文件做出实质性响应。</w:t>
      </w:r>
      <w:r>
        <w:rPr>
          <w:rFonts w:hint="eastAsia" w:asciiTheme="majorEastAsia" w:hAnsiTheme="majorEastAsia" w:eastAsiaTheme="majorEastAsia"/>
          <w:sz w:val="24"/>
        </w:rPr>
        <w:t>如供应商未能按磋商文件要求提交全部资料，或没有按照磋商文件要求做出实质性响应，磋商小组有权取消其成交资格。</w:t>
      </w:r>
    </w:p>
    <w:p>
      <w:pPr>
        <w:topLinePunct/>
        <w:spacing w:line="360" w:lineRule="auto"/>
        <w:ind w:left="360"/>
        <w:rPr>
          <w:rFonts w:asciiTheme="majorEastAsia" w:hAnsiTheme="majorEastAsia" w:eastAsiaTheme="majorEastAsia"/>
          <w:sz w:val="24"/>
        </w:rPr>
      </w:pPr>
      <w:r>
        <w:rPr>
          <w:rFonts w:hint="eastAsia" w:asciiTheme="majorEastAsia" w:hAnsiTheme="majorEastAsia" w:eastAsiaTheme="majorEastAsia"/>
          <w:sz w:val="24"/>
          <w:szCs w:val="24"/>
        </w:rPr>
        <w:t xml:space="preserve">2) </w:t>
      </w:r>
      <w:r>
        <w:rPr>
          <w:rFonts w:hint="eastAsia" w:asciiTheme="majorEastAsia" w:hAnsiTheme="majorEastAsia" w:eastAsiaTheme="majorEastAsia"/>
          <w:sz w:val="24"/>
        </w:rPr>
        <w:t xml:space="preserve">响应文件由商务部分和技术部分组成。 </w:t>
      </w:r>
    </w:p>
    <w:p>
      <w:pPr>
        <w:topLinePunct/>
        <w:spacing w:line="360" w:lineRule="auto"/>
        <w:ind w:left="360"/>
        <w:rPr>
          <w:rFonts w:asciiTheme="majorEastAsia" w:hAnsiTheme="majorEastAsia" w:eastAsiaTheme="majorEastAsia"/>
          <w:b/>
          <w:sz w:val="24"/>
        </w:rPr>
      </w:pPr>
      <w:r>
        <w:rPr>
          <w:rFonts w:hint="eastAsia" w:asciiTheme="majorEastAsia" w:hAnsiTheme="majorEastAsia" w:eastAsiaTheme="majorEastAsia"/>
          <w:b/>
          <w:sz w:val="24"/>
          <w:szCs w:val="24"/>
        </w:rPr>
        <w:t xml:space="preserve">3) </w:t>
      </w:r>
      <w:r>
        <w:rPr>
          <w:rFonts w:hint="eastAsia" w:asciiTheme="majorEastAsia" w:hAnsiTheme="majorEastAsia" w:eastAsiaTheme="majorEastAsia"/>
          <w:b/>
          <w:sz w:val="24"/>
        </w:rPr>
        <w:t>商务部分内容：</w:t>
      </w:r>
    </w:p>
    <w:p>
      <w:pPr>
        <w:numPr>
          <w:ilvl w:val="1"/>
          <w:numId w:val="4"/>
        </w:numPr>
        <w:tabs>
          <w:tab w:val="left" w:pos="1080"/>
          <w:tab w:val="clear" w:pos="1320"/>
        </w:tabs>
        <w:topLinePunct/>
        <w:spacing w:line="360" w:lineRule="auto"/>
        <w:ind w:hanging="600"/>
        <w:rPr>
          <w:rFonts w:cs="宋体" w:asciiTheme="majorEastAsia" w:hAnsiTheme="majorEastAsia" w:eastAsiaTheme="majorEastAsia"/>
          <w:sz w:val="24"/>
        </w:rPr>
      </w:pPr>
      <w:r>
        <w:rPr>
          <w:rFonts w:hint="eastAsia" w:cs="宋体" w:asciiTheme="majorEastAsia" w:hAnsiTheme="majorEastAsia" w:eastAsiaTheme="majorEastAsia"/>
          <w:sz w:val="24"/>
        </w:rPr>
        <w:t>报价函（格式见附件）；</w:t>
      </w:r>
    </w:p>
    <w:p>
      <w:pPr>
        <w:numPr>
          <w:ilvl w:val="1"/>
          <w:numId w:val="4"/>
        </w:numPr>
        <w:tabs>
          <w:tab w:val="left" w:pos="1080"/>
          <w:tab w:val="clear" w:pos="1320"/>
        </w:tabs>
        <w:topLinePunct/>
        <w:spacing w:line="360" w:lineRule="auto"/>
        <w:ind w:left="1080" w:hanging="360"/>
        <w:rPr>
          <w:rFonts w:cs="宋体" w:asciiTheme="majorEastAsia" w:hAnsiTheme="majorEastAsia" w:eastAsiaTheme="majorEastAsia"/>
          <w:sz w:val="24"/>
        </w:rPr>
      </w:pPr>
      <w:r>
        <w:rPr>
          <w:rFonts w:hint="eastAsia" w:cs="宋体" w:asciiTheme="majorEastAsia" w:hAnsiTheme="majorEastAsia" w:eastAsiaTheme="majorEastAsia"/>
          <w:sz w:val="24"/>
        </w:rPr>
        <w:t>法定代表人授权委托书（法定代表人参加本项目的报价时，无需填写法定代表人授权委托书，但须在响应文件中附法定代表人的身份证复印件；格式见附件）；</w:t>
      </w:r>
    </w:p>
    <w:p>
      <w:pPr>
        <w:numPr>
          <w:ilvl w:val="1"/>
          <w:numId w:val="4"/>
        </w:numPr>
        <w:tabs>
          <w:tab w:val="left" w:pos="1080"/>
          <w:tab w:val="clear" w:pos="1320"/>
        </w:tabs>
        <w:topLinePunct/>
        <w:spacing w:line="360" w:lineRule="auto"/>
        <w:ind w:hanging="600"/>
        <w:rPr>
          <w:rFonts w:asciiTheme="majorEastAsia" w:hAnsiTheme="majorEastAsia" w:eastAsiaTheme="majorEastAsia"/>
        </w:rPr>
      </w:pPr>
      <w:r>
        <w:rPr>
          <w:rFonts w:hint="eastAsia" w:cs="宋体" w:asciiTheme="majorEastAsia" w:hAnsiTheme="majorEastAsia" w:eastAsiaTheme="majorEastAsia"/>
          <w:sz w:val="24"/>
        </w:rPr>
        <w:t>开标一览表（格式见附件）；</w:t>
      </w:r>
    </w:p>
    <w:p>
      <w:pPr>
        <w:numPr>
          <w:ilvl w:val="1"/>
          <w:numId w:val="4"/>
        </w:numPr>
        <w:tabs>
          <w:tab w:val="left" w:pos="1080"/>
          <w:tab w:val="clear" w:pos="1320"/>
        </w:tabs>
        <w:topLinePunct/>
        <w:spacing w:line="360" w:lineRule="auto"/>
        <w:ind w:hanging="600"/>
        <w:rPr>
          <w:rFonts w:cs="宋体" w:asciiTheme="majorEastAsia" w:hAnsiTheme="majorEastAsia" w:eastAsiaTheme="majorEastAsia"/>
          <w:sz w:val="24"/>
        </w:rPr>
      </w:pPr>
      <w:r>
        <w:rPr>
          <w:rFonts w:hint="eastAsia" w:cs="宋体" w:asciiTheme="majorEastAsia" w:hAnsiTheme="majorEastAsia" w:eastAsiaTheme="majorEastAsia"/>
          <w:sz w:val="24"/>
        </w:rPr>
        <w:t>供应商基本情况表（格式见附件）；</w:t>
      </w:r>
    </w:p>
    <w:p>
      <w:pPr>
        <w:numPr>
          <w:ilvl w:val="1"/>
          <w:numId w:val="4"/>
        </w:numPr>
        <w:tabs>
          <w:tab w:val="left" w:pos="1080"/>
          <w:tab w:val="clear" w:pos="1320"/>
        </w:tabs>
        <w:topLinePunct/>
        <w:spacing w:line="360" w:lineRule="auto"/>
        <w:ind w:hanging="600"/>
        <w:rPr>
          <w:rFonts w:cs="宋体" w:asciiTheme="majorEastAsia" w:hAnsiTheme="majorEastAsia" w:eastAsiaTheme="majorEastAsia"/>
          <w:sz w:val="24"/>
        </w:rPr>
      </w:pPr>
      <w:r>
        <w:rPr>
          <w:rFonts w:hint="eastAsia" w:cs="宋体" w:asciiTheme="majorEastAsia" w:hAnsiTheme="majorEastAsia" w:eastAsiaTheme="majorEastAsia"/>
          <w:sz w:val="24"/>
        </w:rPr>
        <w:t>商务条款偏离表（格式见附件）；</w:t>
      </w:r>
    </w:p>
    <w:p>
      <w:pPr>
        <w:numPr>
          <w:ilvl w:val="1"/>
          <w:numId w:val="4"/>
        </w:numPr>
        <w:tabs>
          <w:tab w:val="left" w:pos="1080"/>
          <w:tab w:val="clear" w:pos="1320"/>
        </w:tabs>
        <w:topLinePunct/>
        <w:spacing w:line="360" w:lineRule="auto"/>
        <w:ind w:hanging="600"/>
        <w:rPr>
          <w:rFonts w:asciiTheme="majorEastAsia" w:hAnsiTheme="majorEastAsia" w:eastAsiaTheme="majorEastAsia"/>
          <w:sz w:val="24"/>
        </w:rPr>
      </w:pPr>
      <w:r>
        <w:rPr>
          <w:rFonts w:hint="eastAsia" w:asciiTheme="majorEastAsia" w:hAnsiTheme="majorEastAsia" w:eastAsiaTheme="majorEastAsia"/>
          <w:sz w:val="24"/>
        </w:rPr>
        <w:t>小型和微型企业产品明细表（如有）；</w:t>
      </w:r>
    </w:p>
    <w:p>
      <w:pPr>
        <w:numPr>
          <w:ilvl w:val="1"/>
          <w:numId w:val="4"/>
        </w:numPr>
        <w:tabs>
          <w:tab w:val="left" w:pos="1080"/>
          <w:tab w:val="clear" w:pos="1320"/>
        </w:tabs>
        <w:topLinePunct/>
        <w:spacing w:line="360" w:lineRule="auto"/>
        <w:ind w:hanging="600"/>
        <w:rPr>
          <w:rFonts w:asciiTheme="majorEastAsia" w:hAnsiTheme="majorEastAsia" w:eastAsiaTheme="majorEastAsia"/>
          <w:sz w:val="24"/>
        </w:rPr>
      </w:pPr>
      <w:r>
        <w:rPr>
          <w:rFonts w:hint="eastAsia" w:asciiTheme="majorEastAsia" w:hAnsiTheme="majorEastAsia" w:eastAsiaTheme="majorEastAsia"/>
          <w:sz w:val="24"/>
        </w:rPr>
        <w:t>残疾人福利性单位声明函（如有）；</w:t>
      </w:r>
    </w:p>
    <w:p>
      <w:pPr>
        <w:numPr>
          <w:ilvl w:val="1"/>
          <w:numId w:val="4"/>
        </w:numPr>
        <w:tabs>
          <w:tab w:val="left" w:pos="1080"/>
          <w:tab w:val="clear" w:pos="1320"/>
        </w:tabs>
        <w:topLinePunct/>
        <w:spacing w:line="360" w:lineRule="auto"/>
        <w:ind w:hanging="600"/>
        <w:rPr>
          <w:rFonts w:asciiTheme="majorEastAsia" w:hAnsiTheme="majorEastAsia" w:eastAsiaTheme="majorEastAsia"/>
          <w:sz w:val="24"/>
        </w:rPr>
      </w:pPr>
      <w:r>
        <w:rPr>
          <w:rFonts w:hint="eastAsia" w:asciiTheme="majorEastAsia" w:hAnsiTheme="majorEastAsia" w:eastAsiaTheme="majorEastAsia"/>
          <w:sz w:val="24"/>
        </w:rPr>
        <w:t>中小企业声明函（如有）；</w:t>
      </w:r>
    </w:p>
    <w:p>
      <w:pPr>
        <w:numPr>
          <w:ilvl w:val="1"/>
          <w:numId w:val="4"/>
        </w:numPr>
        <w:tabs>
          <w:tab w:val="left" w:pos="1080"/>
          <w:tab w:val="clear" w:pos="1320"/>
        </w:tabs>
        <w:topLinePunct/>
        <w:spacing w:line="360" w:lineRule="auto"/>
        <w:ind w:hanging="600"/>
        <w:rPr>
          <w:rFonts w:asciiTheme="majorEastAsia" w:hAnsiTheme="majorEastAsia" w:eastAsiaTheme="majorEastAsia"/>
          <w:sz w:val="24"/>
        </w:rPr>
      </w:pPr>
      <w:r>
        <w:rPr>
          <w:rFonts w:hint="eastAsia" w:asciiTheme="majorEastAsia" w:hAnsiTheme="majorEastAsia" w:eastAsiaTheme="majorEastAsia"/>
          <w:sz w:val="24"/>
        </w:rPr>
        <w:t>从业人员声明函（如有）；</w:t>
      </w:r>
    </w:p>
    <w:p>
      <w:pPr>
        <w:numPr>
          <w:ilvl w:val="1"/>
          <w:numId w:val="4"/>
        </w:numPr>
        <w:tabs>
          <w:tab w:val="left" w:pos="1080"/>
          <w:tab w:val="clear" w:pos="1320"/>
        </w:tabs>
        <w:topLinePunct/>
        <w:spacing w:line="360" w:lineRule="auto"/>
        <w:ind w:hanging="600"/>
        <w:rPr>
          <w:rFonts w:asciiTheme="majorEastAsia" w:hAnsiTheme="majorEastAsia" w:eastAsiaTheme="majorEastAsia"/>
          <w:sz w:val="24"/>
        </w:rPr>
      </w:pPr>
      <w:r>
        <w:rPr>
          <w:rFonts w:hint="eastAsia" w:asciiTheme="majorEastAsia" w:hAnsiTheme="majorEastAsia" w:eastAsiaTheme="majorEastAsia"/>
          <w:sz w:val="24"/>
        </w:rPr>
        <w:t>节能产品明细表（如有）；</w:t>
      </w:r>
    </w:p>
    <w:p>
      <w:pPr>
        <w:numPr>
          <w:ilvl w:val="1"/>
          <w:numId w:val="4"/>
        </w:numPr>
        <w:tabs>
          <w:tab w:val="left" w:pos="1080"/>
          <w:tab w:val="clear" w:pos="1320"/>
        </w:tabs>
        <w:topLinePunct/>
        <w:spacing w:line="360" w:lineRule="auto"/>
        <w:ind w:hanging="600"/>
        <w:rPr>
          <w:rFonts w:cs="宋体" w:asciiTheme="majorEastAsia" w:hAnsiTheme="majorEastAsia" w:eastAsiaTheme="majorEastAsia"/>
          <w:sz w:val="24"/>
        </w:rPr>
      </w:pPr>
      <w:r>
        <w:rPr>
          <w:rFonts w:hint="eastAsia" w:asciiTheme="majorEastAsia" w:hAnsiTheme="majorEastAsia" w:eastAsiaTheme="majorEastAsia"/>
          <w:sz w:val="24"/>
        </w:rPr>
        <w:t>环境标志产品明细表（如有）；</w:t>
      </w:r>
    </w:p>
    <w:p>
      <w:pPr>
        <w:numPr>
          <w:ilvl w:val="1"/>
          <w:numId w:val="4"/>
        </w:numPr>
        <w:tabs>
          <w:tab w:val="left" w:pos="1080"/>
          <w:tab w:val="clear" w:pos="1320"/>
        </w:tabs>
        <w:topLinePunct/>
        <w:spacing w:line="360" w:lineRule="auto"/>
        <w:ind w:left="1080" w:hanging="360"/>
      </w:pPr>
      <w:r>
        <w:rPr>
          <w:rFonts w:hint="eastAsia" w:asciiTheme="majorEastAsia" w:hAnsiTheme="majorEastAsia" w:eastAsiaTheme="majorEastAsia"/>
          <w:color w:val="000000" w:themeColor="text1"/>
          <w:sz w:val="24"/>
        </w:rPr>
        <w:t>资格资质证明材料（复印件加盖单位红色公章）：</w:t>
      </w:r>
    </w:p>
    <w:p>
      <w:pPr>
        <w:numPr>
          <w:ilvl w:val="2"/>
          <w:numId w:val="4"/>
        </w:numPr>
        <w:tabs>
          <w:tab w:val="left" w:pos="1440"/>
          <w:tab w:val="clear" w:pos="1740"/>
        </w:tabs>
        <w:topLinePunct/>
        <w:spacing w:line="360" w:lineRule="auto"/>
        <w:ind w:hanging="660"/>
        <w:rPr>
          <w:rFonts w:ascii="宋体" w:hAnsi="宋体"/>
          <w:sz w:val="24"/>
        </w:rPr>
      </w:pPr>
      <w:r>
        <w:rPr>
          <w:rFonts w:hint="eastAsia" w:ascii="宋体" w:hAnsi="宋体"/>
          <w:sz w:val="24"/>
        </w:rPr>
        <w:t>有效的营业执照副本；</w:t>
      </w:r>
    </w:p>
    <w:p>
      <w:pPr>
        <w:numPr>
          <w:ilvl w:val="2"/>
          <w:numId w:val="4"/>
        </w:numPr>
        <w:tabs>
          <w:tab w:val="left" w:pos="1440"/>
          <w:tab w:val="clear" w:pos="1740"/>
        </w:tabs>
        <w:topLinePunct/>
        <w:spacing w:line="360" w:lineRule="auto"/>
        <w:ind w:hanging="660"/>
        <w:rPr>
          <w:rFonts w:ascii="宋体" w:hAnsi="宋体"/>
          <w:sz w:val="24"/>
        </w:rPr>
      </w:pPr>
      <w:r>
        <w:rPr>
          <w:rFonts w:hint="eastAsia" w:ascii="宋体" w:hAnsi="宋体" w:cs="宋体"/>
          <w:sz w:val="24"/>
        </w:rPr>
        <w:t>财务状况报告，依法缴纳税收和社会保障资金的相关材料；</w:t>
      </w:r>
    </w:p>
    <w:p>
      <w:pPr>
        <w:numPr>
          <w:ilvl w:val="2"/>
          <w:numId w:val="4"/>
        </w:numPr>
        <w:tabs>
          <w:tab w:val="left" w:pos="1440"/>
          <w:tab w:val="clear" w:pos="1740"/>
        </w:tabs>
        <w:topLinePunct/>
        <w:spacing w:line="360" w:lineRule="auto"/>
        <w:ind w:hanging="660"/>
        <w:rPr>
          <w:rFonts w:ascii="宋体" w:hAnsi="宋体"/>
          <w:sz w:val="24"/>
        </w:rPr>
      </w:pPr>
      <w:r>
        <w:rPr>
          <w:rFonts w:hint="eastAsia" w:ascii="宋体" w:hAnsi="宋体" w:cs="宋体"/>
          <w:sz w:val="24"/>
        </w:rPr>
        <w:t>具备履行合同所必需的设备和专业技术能力的证明材料或声明；</w:t>
      </w:r>
    </w:p>
    <w:p>
      <w:pPr>
        <w:numPr>
          <w:ilvl w:val="2"/>
          <w:numId w:val="4"/>
        </w:numPr>
        <w:tabs>
          <w:tab w:val="left" w:pos="1440"/>
          <w:tab w:val="clear" w:pos="1740"/>
        </w:tabs>
        <w:topLinePunct/>
        <w:spacing w:line="360" w:lineRule="auto"/>
        <w:ind w:hanging="660"/>
        <w:rPr>
          <w:rFonts w:ascii="宋体" w:hAnsi="宋体"/>
          <w:sz w:val="24"/>
        </w:rPr>
      </w:pPr>
      <w:r>
        <w:rPr>
          <w:rFonts w:hint="eastAsia" w:ascii="宋体" w:hAnsi="宋体" w:cs="宋体"/>
          <w:sz w:val="24"/>
        </w:rPr>
        <w:t>参加政府采购活动前3年内在经营活动中没有重大违法记录的书面声明；</w:t>
      </w:r>
    </w:p>
    <w:p>
      <w:pPr>
        <w:numPr>
          <w:ilvl w:val="2"/>
          <w:numId w:val="4"/>
        </w:numPr>
        <w:tabs>
          <w:tab w:val="left" w:pos="1440"/>
          <w:tab w:val="clear" w:pos="1740"/>
        </w:tabs>
        <w:topLinePunct/>
        <w:spacing w:line="360" w:lineRule="auto"/>
        <w:ind w:hanging="660"/>
        <w:rPr>
          <w:rFonts w:ascii="宋体" w:hAnsi="宋体"/>
          <w:sz w:val="24"/>
        </w:rPr>
      </w:pPr>
      <w:r>
        <w:rPr>
          <w:rFonts w:hint="eastAsia" w:ascii="宋体" w:hAnsi="宋体" w:cs="宋体"/>
          <w:sz w:val="24"/>
          <w:szCs w:val="24"/>
        </w:rPr>
        <w:t>在以往前</w:t>
      </w:r>
      <w:r>
        <w:rPr>
          <w:rFonts w:hint="eastAsia" w:ascii="宋体" w:hAnsi="宋体" w:cs="宋体"/>
          <w:sz w:val="24"/>
        </w:rPr>
        <w:t>3</w:t>
      </w:r>
      <w:r>
        <w:rPr>
          <w:rFonts w:hint="eastAsia" w:ascii="宋体" w:hAnsi="宋体" w:cs="宋体"/>
          <w:sz w:val="24"/>
          <w:szCs w:val="24"/>
        </w:rPr>
        <w:t>年的政府采购活动中没有违纪、违规、违约等不良行为的书面声明；</w:t>
      </w:r>
    </w:p>
    <w:p>
      <w:pPr>
        <w:numPr>
          <w:ilvl w:val="1"/>
          <w:numId w:val="4"/>
        </w:numPr>
        <w:tabs>
          <w:tab w:val="left" w:pos="1080"/>
          <w:tab w:val="clear" w:pos="1320"/>
        </w:tabs>
        <w:topLinePunct/>
        <w:spacing w:line="360" w:lineRule="auto"/>
        <w:ind w:hanging="600"/>
        <w:rPr>
          <w:rFonts w:asciiTheme="majorEastAsia" w:hAnsiTheme="majorEastAsia" w:eastAsiaTheme="majorEastAsia"/>
          <w:sz w:val="24"/>
        </w:rPr>
      </w:pPr>
      <w:r>
        <w:rPr>
          <w:rFonts w:hint="eastAsia" w:ascii="宋体" w:hAnsi="宋体"/>
          <w:sz w:val="24"/>
        </w:rPr>
        <w:t>磋商文件其它部分中要求提供的资料；</w:t>
      </w:r>
      <w:r>
        <w:rPr>
          <w:rFonts w:hint="eastAsia" w:asciiTheme="majorEastAsia" w:hAnsiTheme="majorEastAsia" w:eastAsiaTheme="majorEastAsia"/>
          <w:sz w:val="24"/>
        </w:rPr>
        <w:t>供应商认为需要提交的其它相关证明文件。</w:t>
      </w:r>
    </w:p>
    <w:p>
      <w:pPr>
        <w:topLinePunct/>
        <w:spacing w:line="460" w:lineRule="exact"/>
        <w:ind w:left="360"/>
        <w:rPr>
          <w:rFonts w:asciiTheme="majorEastAsia" w:hAnsiTheme="majorEastAsia" w:eastAsiaTheme="majorEastAsia"/>
          <w:b/>
          <w:sz w:val="24"/>
        </w:rPr>
      </w:pPr>
      <w:r>
        <w:rPr>
          <w:rFonts w:hint="eastAsia" w:asciiTheme="majorEastAsia" w:hAnsiTheme="majorEastAsia" w:eastAsiaTheme="majorEastAsia"/>
          <w:b/>
          <w:sz w:val="24"/>
          <w:szCs w:val="24"/>
        </w:rPr>
        <w:t xml:space="preserve">4) </w:t>
      </w:r>
      <w:r>
        <w:rPr>
          <w:rFonts w:hint="eastAsia" w:asciiTheme="majorEastAsia" w:hAnsiTheme="majorEastAsia" w:eastAsiaTheme="majorEastAsia"/>
          <w:b/>
          <w:sz w:val="24"/>
        </w:rPr>
        <w:t>技术部分内容：</w:t>
      </w:r>
    </w:p>
    <w:p>
      <w:pPr>
        <w:numPr>
          <w:ilvl w:val="0"/>
          <w:numId w:val="5"/>
        </w:numPr>
        <w:tabs>
          <w:tab w:val="left" w:pos="1080"/>
        </w:tabs>
        <w:topLinePunct/>
        <w:spacing w:line="520" w:lineRule="exact"/>
        <w:ind w:hanging="180"/>
        <w:rPr>
          <w:rFonts w:asciiTheme="majorEastAsia" w:hAnsiTheme="majorEastAsia" w:eastAsiaTheme="majorEastAsia"/>
          <w:sz w:val="24"/>
        </w:rPr>
      </w:pPr>
      <w:r>
        <w:rPr>
          <w:rFonts w:hint="eastAsia" w:asciiTheme="majorEastAsia" w:hAnsiTheme="majorEastAsia" w:eastAsiaTheme="majorEastAsia"/>
          <w:sz w:val="24"/>
        </w:rPr>
        <w:t>技术标书目录；</w:t>
      </w:r>
    </w:p>
    <w:p>
      <w:pPr>
        <w:numPr>
          <w:ilvl w:val="0"/>
          <w:numId w:val="5"/>
        </w:numPr>
        <w:tabs>
          <w:tab w:val="left" w:pos="1080"/>
        </w:tabs>
        <w:topLinePunct/>
        <w:spacing w:line="520" w:lineRule="exact"/>
        <w:ind w:hanging="180"/>
        <w:rPr>
          <w:rFonts w:asciiTheme="majorEastAsia" w:hAnsiTheme="majorEastAsia" w:eastAsiaTheme="majorEastAsia"/>
          <w:sz w:val="24"/>
        </w:rPr>
      </w:pPr>
      <w:r>
        <w:rPr>
          <w:rFonts w:hint="eastAsia" w:asciiTheme="majorEastAsia" w:hAnsiTheme="majorEastAsia" w:eastAsiaTheme="majorEastAsia"/>
          <w:sz w:val="24"/>
        </w:rPr>
        <w:t>技术条款偏离表（格式见附件）；</w:t>
      </w:r>
    </w:p>
    <w:p>
      <w:pPr>
        <w:numPr>
          <w:ilvl w:val="0"/>
          <w:numId w:val="5"/>
        </w:numPr>
        <w:tabs>
          <w:tab w:val="left" w:pos="1080"/>
          <w:tab w:val="clear" w:pos="900"/>
        </w:tabs>
        <w:topLinePunct/>
        <w:spacing w:line="460" w:lineRule="exact"/>
        <w:ind w:left="1080" w:hanging="360"/>
        <w:rPr>
          <w:rFonts w:asciiTheme="majorEastAsia" w:hAnsiTheme="majorEastAsia" w:eastAsiaTheme="majorEastAsia"/>
        </w:rPr>
      </w:pPr>
      <w:r>
        <w:rPr>
          <w:rFonts w:hint="eastAsia" w:asciiTheme="majorEastAsia" w:hAnsiTheme="majorEastAsia" w:eastAsiaTheme="majorEastAsia"/>
          <w:color w:val="000000" w:themeColor="text1"/>
          <w:sz w:val="24"/>
        </w:rPr>
        <w:t>实施方案，包括：包括</w:t>
      </w:r>
      <w:r>
        <w:rPr>
          <w:rFonts w:hint="eastAsia" w:asciiTheme="majorEastAsia" w:hAnsiTheme="majorEastAsia" w:eastAsiaTheme="majorEastAsia"/>
          <w:color w:val="000000" w:themeColor="text1"/>
          <w:sz w:val="24"/>
          <w:lang w:val="en-US" w:eastAsia="zh-CN"/>
        </w:rPr>
        <w:t>安装调试</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lang w:val="en-US" w:eastAsia="zh-CN"/>
        </w:rPr>
        <w:t>系统培训、</w:t>
      </w:r>
      <w:r>
        <w:rPr>
          <w:rFonts w:hint="eastAsia" w:asciiTheme="majorEastAsia" w:hAnsiTheme="majorEastAsia" w:eastAsiaTheme="majorEastAsia"/>
          <w:color w:val="000000" w:themeColor="text1"/>
          <w:sz w:val="24"/>
        </w:rPr>
        <w:t>人员安排、服务标准、服务保障;</w:t>
      </w:r>
    </w:p>
    <w:p>
      <w:pPr>
        <w:numPr>
          <w:ilvl w:val="0"/>
          <w:numId w:val="5"/>
        </w:numPr>
        <w:tabs>
          <w:tab w:val="left" w:pos="1080"/>
          <w:tab w:val="clear" w:pos="900"/>
        </w:tabs>
        <w:topLinePunct/>
        <w:spacing w:line="460" w:lineRule="exact"/>
        <w:ind w:left="1080" w:hanging="360"/>
        <w:rPr>
          <w:rFonts w:asciiTheme="majorEastAsia" w:hAnsiTheme="majorEastAsia" w:eastAsiaTheme="majorEastAsia"/>
        </w:rPr>
      </w:pPr>
      <w:r>
        <w:rPr>
          <w:rFonts w:hint="eastAsia" w:asciiTheme="majorEastAsia" w:hAnsiTheme="majorEastAsia" w:eastAsiaTheme="majorEastAsia"/>
          <w:sz w:val="24"/>
        </w:rPr>
        <w:t>响应项目说明：响应人应对拟投报的项目进行详细描述，证明与磋商文件的要求相一致的文件可以是文字说明、产品样册等；</w:t>
      </w:r>
    </w:p>
    <w:p>
      <w:pPr>
        <w:tabs>
          <w:tab w:val="left" w:pos="1080"/>
        </w:tabs>
        <w:topLinePunct/>
        <w:spacing w:line="460" w:lineRule="exact"/>
        <w:ind w:left="718" w:leftChars="342"/>
        <w:rPr>
          <w:rFonts w:asciiTheme="majorEastAsia" w:hAnsiTheme="majorEastAsia" w:eastAsiaTheme="majorEastAsia"/>
          <w:sz w:val="24"/>
        </w:rPr>
      </w:pPr>
      <w:r>
        <w:rPr>
          <w:rFonts w:hint="eastAsia" w:asciiTheme="majorEastAsia" w:hAnsiTheme="majorEastAsia" w:eastAsiaTheme="majorEastAsia"/>
          <w:sz w:val="24"/>
        </w:rPr>
        <w:t>e)供应商认为需加以说明的其它内容（如对磋商文件中所提出服务内容和有关要求的承诺、供应商优势分析、保证服务的措施等）。</w:t>
      </w:r>
    </w:p>
    <w:p>
      <w:pPr>
        <w:topLinePunct/>
        <w:spacing w:line="460" w:lineRule="exact"/>
        <w:ind w:firstLine="361" w:firstLineChars="150"/>
        <w:rPr>
          <w:rFonts w:asciiTheme="majorEastAsia" w:hAnsiTheme="majorEastAsia" w:eastAsiaTheme="majorEastAsia"/>
          <w:b/>
          <w:sz w:val="24"/>
        </w:rPr>
      </w:pPr>
      <w:r>
        <w:rPr>
          <w:rFonts w:hint="eastAsia" w:asciiTheme="majorEastAsia" w:hAnsiTheme="majorEastAsia" w:eastAsiaTheme="majorEastAsia"/>
          <w:b/>
          <w:sz w:val="24"/>
          <w:szCs w:val="24"/>
        </w:rPr>
        <w:t xml:space="preserve">5) </w:t>
      </w:r>
      <w:r>
        <w:rPr>
          <w:rFonts w:hint="eastAsia" w:asciiTheme="majorEastAsia" w:hAnsiTheme="majorEastAsia" w:eastAsiaTheme="majorEastAsia"/>
          <w:b/>
          <w:sz w:val="24"/>
        </w:rPr>
        <w:t>售后服务</w:t>
      </w:r>
    </w:p>
    <w:p>
      <w:pPr>
        <w:topLinePunct/>
        <w:spacing w:line="460" w:lineRule="exact"/>
        <w:ind w:firstLine="720" w:firstLineChars="300"/>
        <w:rPr>
          <w:rFonts w:asciiTheme="majorEastAsia" w:hAnsiTheme="majorEastAsia" w:eastAsiaTheme="majorEastAsia"/>
          <w:sz w:val="24"/>
        </w:rPr>
      </w:pPr>
      <w:r>
        <w:rPr>
          <w:rFonts w:hint="eastAsia" w:asciiTheme="majorEastAsia" w:hAnsiTheme="majorEastAsia" w:eastAsiaTheme="majorEastAsia"/>
          <w:sz w:val="24"/>
        </w:rPr>
        <w:t>供应商应做出利于用户的服务承诺。</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12.响应文件格式</w:t>
      </w:r>
    </w:p>
    <w:p>
      <w:pPr>
        <w:topLinePunct/>
        <w:spacing w:line="460" w:lineRule="exact"/>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响应文件包括本须知第11条中规定的内容，供应商提交的响应文件应当使用磋商文件所提供的格式（可以相同格式扩展或另行编写，但不得删减内容或与本须知第11条的内容相悖）。</w:t>
      </w:r>
    </w:p>
    <w:p>
      <w:pPr>
        <w:topLinePunct/>
        <w:spacing w:line="58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13.报价说明</w:t>
      </w:r>
    </w:p>
    <w:p>
      <w:pPr>
        <w:tabs>
          <w:tab w:val="left" w:pos="900"/>
        </w:tabs>
        <w:topLinePunct/>
        <w:spacing w:line="520" w:lineRule="exact"/>
        <w:ind w:firstLine="360" w:firstLineChars="150"/>
        <w:jc w:val="left"/>
        <w:rPr>
          <w:rFonts w:asciiTheme="majorEastAsia" w:hAnsiTheme="majorEastAsia" w:eastAsiaTheme="majorEastAsia"/>
          <w:color w:val="000000"/>
          <w:sz w:val="24"/>
          <w:u w:val="single"/>
        </w:rPr>
      </w:pPr>
      <w:r>
        <w:rPr>
          <w:rFonts w:hint="eastAsia" w:asciiTheme="majorEastAsia" w:hAnsiTheme="majorEastAsia" w:eastAsiaTheme="majorEastAsia"/>
          <w:color w:val="000000"/>
          <w:sz w:val="24"/>
          <w:szCs w:val="24"/>
        </w:rPr>
        <w:t>1)</w:t>
      </w:r>
      <w:r>
        <w:rPr>
          <w:rFonts w:hint="eastAsia" w:asciiTheme="majorEastAsia" w:hAnsiTheme="majorEastAsia" w:eastAsiaTheme="majorEastAsia"/>
          <w:color w:val="000000"/>
          <w:sz w:val="24"/>
          <w:szCs w:val="24"/>
          <w:u w:val="single"/>
        </w:rPr>
        <w:t xml:space="preserve"> </w:t>
      </w:r>
      <w:r>
        <w:rPr>
          <w:rFonts w:hint="eastAsia" w:ascii="宋体" w:hAnsi="宋体"/>
          <w:sz w:val="24"/>
          <w:u w:val="single"/>
          <w:lang w:val="en-US" w:eastAsia="zh-CN"/>
        </w:rPr>
        <w:t>响应人</w:t>
      </w:r>
      <w:r>
        <w:rPr>
          <w:rFonts w:hint="eastAsia" w:ascii="宋体" w:hAnsi="宋体"/>
          <w:sz w:val="24"/>
          <w:u w:val="single"/>
          <w:lang w:val="zh-CN"/>
        </w:rPr>
        <w:t xml:space="preserve">应根据磋商文件、各自情况等进行响应报价的编制，报价应包括服务范围内的全部内容， </w:t>
      </w:r>
      <w:r>
        <w:rPr>
          <w:rFonts w:hint="eastAsia" w:ascii="宋体" w:hAnsi="宋体"/>
          <w:sz w:val="24"/>
          <w:u w:val="single"/>
          <w:lang w:val="en-US" w:eastAsia="zh-CN"/>
        </w:rPr>
        <w:t>响应人</w:t>
      </w:r>
      <w:r>
        <w:rPr>
          <w:rFonts w:hint="eastAsia" w:ascii="宋体" w:hAnsi="宋体"/>
          <w:sz w:val="24"/>
          <w:u w:val="single"/>
          <w:lang w:val="zh-CN"/>
        </w:rPr>
        <w:t>应充分考虑本项目合同实施期间可能发生的一切费用，并承担由此而带来的风险。凡</w:t>
      </w:r>
      <w:r>
        <w:rPr>
          <w:rFonts w:hint="eastAsia" w:ascii="宋体" w:hAnsi="宋体"/>
          <w:sz w:val="24"/>
          <w:u w:val="single"/>
          <w:lang w:val="en-US" w:eastAsia="zh-CN"/>
        </w:rPr>
        <w:t>响应人</w:t>
      </w:r>
      <w:r>
        <w:rPr>
          <w:rFonts w:hint="eastAsia" w:ascii="宋体" w:hAnsi="宋体"/>
          <w:sz w:val="24"/>
          <w:u w:val="single"/>
          <w:lang w:val="zh-CN"/>
        </w:rPr>
        <w:t>在报价中未列明但又为本次采购所必备的项目或遗漏项目，采购人将一律视为已包括在其报价中，在合同执行中将不予考虑。</w:t>
      </w:r>
      <w:r>
        <w:rPr>
          <w:rFonts w:hint="eastAsia" w:ascii="宋体" w:hAnsi="宋体"/>
          <w:sz w:val="24"/>
          <w:u w:val="single"/>
          <w:lang w:val="en-US" w:eastAsia="zh-CN"/>
        </w:rPr>
        <w:t>成交</w:t>
      </w:r>
      <w:r>
        <w:rPr>
          <w:rFonts w:hint="eastAsia" w:ascii="宋体" w:hAnsi="宋体"/>
          <w:sz w:val="24"/>
          <w:u w:val="single"/>
          <w:lang w:val="zh-CN"/>
        </w:rPr>
        <w:t>总价确定后，不因市场及其他因素而调整。</w:t>
      </w:r>
    </w:p>
    <w:p>
      <w:pPr>
        <w:tabs>
          <w:tab w:val="left" w:pos="900"/>
        </w:tabs>
        <w:topLinePunct/>
        <w:spacing w:line="500" w:lineRule="exact"/>
        <w:ind w:firstLine="361" w:firstLineChars="150"/>
        <w:jc w:val="left"/>
        <w:rPr>
          <w:rFonts w:cs="宋体" w:asciiTheme="majorEastAsia" w:hAnsiTheme="majorEastAsia" w:eastAsiaTheme="majorEastAsia"/>
          <w:b/>
          <w:sz w:val="24"/>
          <w:u w:val="single"/>
        </w:rPr>
      </w:pPr>
      <w:r>
        <w:rPr>
          <w:rFonts w:hint="eastAsia" w:asciiTheme="majorEastAsia" w:hAnsiTheme="majorEastAsia" w:eastAsiaTheme="majorEastAsia"/>
          <w:b/>
          <w:sz w:val="24"/>
          <w:szCs w:val="24"/>
        </w:rPr>
        <w:t xml:space="preserve">2) </w:t>
      </w:r>
      <w:r>
        <w:rPr>
          <w:rFonts w:hint="eastAsia" w:cs="宋体" w:asciiTheme="majorEastAsia" w:hAnsiTheme="majorEastAsia" w:eastAsiaTheme="majorEastAsia"/>
          <w:b/>
          <w:sz w:val="24"/>
          <w:u w:val="single"/>
        </w:rPr>
        <w:t>磋商时，开标一览表内容与响应文件中相应内容不一致的，以开标一览表为准；</w:t>
      </w:r>
    </w:p>
    <w:p>
      <w:pPr>
        <w:tabs>
          <w:tab w:val="left" w:pos="360"/>
          <w:tab w:val="left" w:pos="420"/>
          <w:tab w:val="left" w:pos="720"/>
        </w:tabs>
        <w:topLinePunct/>
        <w:spacing w:line="500" w:lineRule="exact"/>
        <w:ind w:left="1" w:firstLine="361" w:firstLineChars="150"/>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3)</w:t>
      </w:r>
      <w:r>
        <w:rPr>
          <w:rFonts w:hint="eastAsia" w:cs="宋体" w:asciiTheme="majorEastAsia" w:hAnsiTheme="majorEastAsia" w:eastAsiaTheme="majorEastAsia"/>
        </w:rPr>
        <w:t xml:space="preserve"> </w:t>
      </w:r>
      <w:r>
        <w:rPr>
          <w:rFonts w:hint="eastAsia" w:cs="宋体" w:asciiTheme="majorEastAsia" w:hAnsiTheme="majorEastAsia" w:eastAsiaTheme="majorEastAsia"/>
          <w:b/>
          <w:sz w:val="24"/>
          <w:u w:val="single"/>
        </w:rPr>
        <w:t>大写金额和小写金额不一致的，以大写金额为准；总价金额与按单价汇总金额不一致的，以单价金额计算结果为准。单价金额小数点或者百分比有明显错位的，以开标一览表的总价为准，并修改单价；对不同文字文本响应文件的解释发生异议的，以中文文本为准</w:t>
      </w:r>
      <w:r>
        <w:rPr>
          <w:rFonts w:hint="eastAsia" w:cs="宋体" w:asciiTheme="majorEastAsia" w:hAnsiTheme="majorEastAsia" w:eastAsiaTheme="majorEastAsia"/>
          <w:b/>
          <w:sz w:val="24"/>
        </w:rPr>
        <w:t>。</w:t>
      </w:r>
    </w:p>
    <w:p>
      <w:pPr>
        <w:tabs>
          <w:tab w:val="left" w:pos="0"/>
          <w:tab w:val="left" w:pos="420"/>
          <w:tab w:val="left" w:pos="720"/>
        </w:tabs>
        <w:topLinePunct/>
        <w:spacing w:line="500" w:lineRule="exact"/>
        <w:ind w:left="1" w:firstLine="360" w:firstLineChars="150"/>
        <w:jc w:val="left"/>
        <w:rPr>
          <w:rFonts w:cs="宋体" w:asciiTheme="majorEastAsia" w:hAnsiTheme="majorEastAsia" w:eastAsiaTheme="majorEastAsia"/>
          <w:sz w:val="24"/>
          <w:szCs w:val="24"/>
        </w:rPr>
      </w:pPr>
      <w:r>
        <w:rPr>
          <w:rFonts w:hint="eastAsia" w:cs="宋体" w:asciiTheme="majorEastAsia" w:hAnsiTheme="majorEastAsia" w:eastAsiaTheme="majorEastAsia"/>
          <w:sz w:val="24"/>
        </w:rPr>
        <w:t xml:space="preserve">4) </w:t>
      </w:r>
      <w:r>
        <w:rPr>
          <w:rFonts w:hint="eastAsia" w:cs="宋体" w:asciiTheme="majorEastAsia" w:hAnsiTheme="majorEastAsia" w:eastAsiaTheme="majorEastAsia"/>
          <w:b/>
          <w:sz w:val="24"/>
          <w:szCs w:val="24"/>
          <w:u w:val="single"/>
        </w:rPr>
        <w:t>最低报价不是成交的唯一因素，供应商所报方案应符合磋商文件的要求和规定</w:t>
      </w:r>
      <w:r>
        <w:rPr>
          <w:rFonts w:hint="eastAsia" w:cs="宋体" w:asciiTheme="majorEastAsia" w:hAnsiTheme="majorEastAsia" w:eastAsiaTheme="majorEastAsia"/>
          <w:b/>
          <w:sz w:val="24"/>
          <w:szCs w:val="24"/>
        </w:rPr>
        <w:t>。</w:t>
      </w:r>
    </w:p>
    <w:p>
      <w:pPr>
        <w:tabs>
          <w:tab w:val="left" w:pos="0"/>
          <w:tab w:val="left" w:pos="420"/>
          <w:tab w:val="left" w:pos="720"/>
        </w:tabs>
        <w:topLinePunct/>
        <w:spacing w:line="580" w:lineRule="exact"/>
        <w:ind w:left="1" w:firstLine="360" w:firstLineChars="150"/>
        <w:jc w:val="left"/>
        <w:rPr>
          <w:rFonts w:asciiTheme="majorEastAsia" w:hAnsiTheme="majorEastAsia" w:eastAsiaTheme="majorEastAsia"/>
          <w:sz w:val="24"/>
          <w:szCs w:val="24"/>
        </w:rPr>
      </w:pPr>
      <w:r>
        <w:rPr>
          <w:rFonts w:hint="eastAsia" w:cs="宋体" w:asciiTheme="majorEastAsia" w:hAnsiTheme="majorEastAsia" w:eastAsiaTheme="majorEastAsia"/>
          <w:sz w:val="24"/>
        </w:rPr>
        <w:t xml:space="preserve">5) </w:t>
      </w:r>
      <w:r>
        <w:rPr>
          <w:rFonts w:hint="eastAsia" w:cs="宋体" w:asciiTheme="majorEastAsia" w:hAnsiTheme="majorEastAsia" w:eastAsiaTheme="majorEastAsia"/>
          <w:b/>
          <w:sz w:val="24"/>
        </w:rPr>
        <w:t>本次采购不接受供应商以联合体形式报价且只能投报一个方案</w:t>
      </w:r>
      <w:r>
        <w:rPr>
          <w:rFonts w:hint="eastAsia" w:cs="宋体" w:asciiTheme="majorEastAsia" w:hAnsiTheme="majorEastAsia" w:eastAsiaTheme="majorEastAsia"/>
          <w:sz w:val="24"/>
        </w:rPr>
        <w:t>。</w:t>
      </w:r>
      <w:r>
        <w:rPr>
          <w:rFonts w:hint="eastAsia" w:asciiTheme="majorEastAsia" w:hAnsiTheme="majorEastAsia" w:eastAsiaTheme="majorEastAsia"/>
          <w:sz w:val="24"/>
          <w:szCs w:val="24"/>
        </w:rPr>
        <w:t>若报多种方案或备选方案，磋商小组只接受有效报价最高的方案，其余方案不予接受。</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14.响应文件份数和签署</w:t>
      </w:r>
    </w:p>
    <w:p>
      <w:pPr>
        <w:tabs>
          <w:tab w:val="left" w:pos="720"/>
        </w:tabs>
        <w:topLinePunct/>
        <w:spacing w:line="460" w:lineRule="exact"/>
        <w:ind w:firstLine="357" w:firstLineChars="149"/>
        <w:rPr>
          <w:rFonts w:asciiTheme="majorEastAsia" w:hAnsiTheme="majorEastAsia" w:eastAsiaTheme="majorEastAsia"/>
          <w:color w:val="000000" w:themeColor="text1"/>
          <w:sz w:val="24"/>
          <w:szCs w:val="24"/>
        </w:rPr>
      </w:pPr>
      <w:r>
        <w:rPr>
          <w:rFonts w:hint="eastAsia" w:cs="宋体" w:asciiTheme="majorEastAsia" w:hAnsiTheme="majorEastAsia" w:eastAsiaTheme="majorEastAsia"/>
          <w:sz w:val="24"/>
        </w:rPr>
        <w:t xml:space="preserve">1) </w:t>
      </w:r>
      <w:r>
        <w:rPr>
          <w:rFonts w:hint="eastAsia" w:asciiTheme="majorEastAsia" w:hAnsiTheme="majorEastAsia" w:eastAsiaTheme="majorEastAsia"/>
          <w:sz w:val="24"/>
          <w:szCs w:val="24"/>
        </w:rPr>
        <w:t>供应商应按照本须</w:t>
      </w:r>
      <w:r>
        <w:rPr>
          <w:rFonts w:hint="eastAsia" w:asciiTheme="majorEastAsia" w:hAnsiTheme="majorEastAsia" w:eastAsiaTheme="majorEastAsia"/>
          <w:color w:val="000000" w:themeColor="text1"/>
          <w:sz w:val="24"/>
          <w:szCs w:val="24"/>
        </w:rPr>
        <w:t>知第11款的要求，准备一式四份响应文件（一份正本、三份副本），每份响应文件须清楚地标明“正本”或“副本”字样。一旦正本和副本不符，以正本为准。</w:t>
      </w:r>
    </w:p>
    <w:p>
      <w:pPr>
        <w:topLinePunct/>
        <w:spacing w:line="460" w:lineRule="exact"/>
        <w:ind w:firstLine="360" w:firstLineChars="150"/>
        <w:rPr>
          <w:rFonts w:cs="宋体" w:asciiTheme="majorEastAsia" w:hAnsiTheme="majorEastAsia" w:eastAsiaTheme="majorEastAsia"/>
          <w:b/>
          <w:sz w:val="24"/>
          <w:szCs w:val="24"/>
          <w:u w:val="single"/>
        </w:rPr>
      </w:pPr>
      <w:r>
        <w:rPr>
          <w:rFonts w:hint="eastAsia" w:asciiTheme="majorEastAsia" w:hAnsiTheme="majorEastAsia" w:eastAsiaTheme="majorEastAsia"/>
          <w:color w:val="000000" w:themeColor="text1"/>
          <w:sz w:val="24"/>
          <w:szCs w:val="24"/>
        </w:rPr>
        <w:t>2) 响应文件的正本和所有的副本均需使用A4纸打印或复印</w:t>
      </w:r>
      <w:r>
        <w:rPr>
          <w:rFonts w:hint="eastAsia" w:asciiTheme="majorEastAsia" w:hAnsiTheme="majorEastAsia" w:eastAsiaTheme="majorEastAsia"/>
          <w:sz w:val="24"/>
          <w:szCs w:val="24"/>
        </w:rPr>
        <w:t>，在磋商文件要求签字的地方均由供应商法定代表人或其授权代表签字。</w:t>
      </w:r>
      <w:r>
        <w:rPr>
          <w:rFonts w:hint="eastAsia" w:cs="宋体" w:asciiTheme="majorEastAsia" w:hAnsiTheme="majorEastAsia" w:eastAsiaTheme="majorEastAsia"/>
          <w:b/>
          <w:sz w:val="24"/>
          <w:szCs w:val="24"/>
          <w:u w:val="single"/>
        </w:rPr>
        <w:t>响应文件正本中，每一页均应由响应单位加盖公章，或者由响应单位法定代表人或授权代表签名，其中规定格式的文件应当按要求签名和加盖响应人公章。</w:t>
      </w:r>
    </w:p>
    <w:p>
      <w:pPr>
        <w:topLinePunct/>
        <w:spacing w:line="460" w:lineRule="exact"/>
        <w:outlineLvl w:val="0"/>
        <w:rPr>
          <w:rFonts w:asciiTheme="majorEastAsia" w:hAnsiTheme="majorEastAsia" w:eastAsiaTheme="majorEastAsia"/>
          <w:b/>
          <w:sz w:val="24"/>
          <w:szCs w:val="24"/>
        </w:rPr>
      </w:pPr>
      <w:r>
        <w:rPr>
          <w:rFonts w:hint="eastAsia" w:asciiTheme="majorEastAsia" w:hAnsiTheme="majorEastAsia" w:eastAsiaTheme="majorEastAsia"/>
          <w:b/>
          <w:sz w:val="24"/>
          <w:szCs w:val="24"/>
        </w:rPr>
        <w:t>15.响应文件的密封和标记（格式见附件）</w:t>
      </w:r>
    </w:p>
    <w:p>
      <w:pPr>
        <w:topLinePunct/>
        <w:spacing w:line="460" w:lineRule="exact"/>
        <w:rPr>
          <w:rFonts w:asciiTheme="majorEastAsia" w:hAnsiTheme="majorEastAsia" w:eastAsiaTheme="majorEastAsia"/>
          <w:b/>
          <w:color w:val="000000" w:themeColor="text1"/>
          <w:sz w:val="24"/>
          <w:szCs w:val="24"/>
        </w:rPr>
      </w:pPr>
      <w:r>
        <w:rPr>
          <w:rFonts w:hint="eastAsia" w:cs="宋体" w:asciiTheme="majorEastAsia" w:hAnsiTheme="majorEastAsia" w:eastAsiaTheme="majorEastAsia"/>
          <w:sz w:val="24"/>
        </w:rPr>
        <w:t xml:space="preserve">1) </w:t>
      </w:r>
      <w:r>
        <w:rPr>
          <w:rFonts w:hint="eastAsia" w:asciiTheme="majorEastAsia" w:hAnsiTheme="majorEastAsia" w:eastAsiaTheme="majorEastAsia"/>
          <w:sz w:val="24"/>
          <w:szCs w:val="24"/>
        </w:rPr>
        <w:t>供应商应将响应文件正本和所有副本用密封袋密封，并在封口启封处加盖供应商单位公章或法定代表人/授权代表签署。</w:t>
      </w:r>
    </w:p>
    <w:p>
      <w:pPr>
        <w:topLinePunct/>
        <w:spacing w:line="460" w:lineRule="exact"/>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采购代理机构将拒绝并原封退回在规定的提交响应文件截止时间后送达的任何响应文件。</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18.响应文件的补充、修改和撤回</w:t>
      </w:r>
    </w:p>
    <w:p>
      <w:pPr>
        <w:tabs>
          <w:tab w:val="left" w:pos="0"/>
        </w:tabs>
        <w:topLinePunct/>
        <w:spacing w:line="460" w:lineRule="exact"/>
        <w:ind w:firstLine="360" w:firstLineChars="150"/>
        <w:rPr>
          <w:rFonts w:asciiTheme="majorEastAsia" w:hAnsiTheme="majorEastAsia" w:eastAsiaTheme="majorEastAsia"/>
          <w:color w:val="000000" w:themeColor="text1"/>
          <w:sz w:val="24"/>
          <w:szCs w:val="24"/>
        </w:rPr>
      </w:pPr>
      <w:r>
        <w:rPr>
          <w:rFonts w:hint="eastAsia" w:cs="宋体" w:asciiTheme="majorEastAsia" w:hAnsiTheme="majorEastAsia" w:eastAsiaTheme="majorEastAsia"/>
          <w:sz w:val="24"/>
        </w:rPr>
        <w:t xml:space="preserve">1) </w:t>
      </w:r>
      <w:r>
        <w:rPr>
          <w:rFonts w:hint="eastAsia" w:asciiTheme="majorEastAsia" w:hAnsiTheme="majorEastAsia" w:eastAsiaTheme="majorEastAsia"/>
          <w:sz w:val="24"/>
          <w:szCs w:val="24"/>
        </w:rPr>
        <w:t>供应商在递交响应文件后，在规定的提交响应文件截止时间前，可以以书面形式补充修改或撤回已提交的响应文件，并以书面</w:t>
      </w:r>
    </w:p>
    <w:p>
      <w:pPr>
        <w:topLinePunct/>
        <w:spacing w:line="460" w:lineRule="exact"/>
        <w:ind w:firstLine="360" w:firstLineChars="150"/>
        <w:rPr>
          <w:rFonts w:hint="eastAsia" w:asciiTheme="majorEastAsia" w:hAnsiTheme="majorEastAsia" w:eastAsiaTheme="majorEastAsia"/>
          <w:color w:val="000000" w:themeColor="text1"/>
          <w:sz w:val="24"/>
          <w:szCs w:val="24"/>
          <w:lang w:val="en-US" w:eastAsia="zh-CN"/>
        </w:rPr>
      </w:pPr>
      <w:r>
        <w:rPr>
          <w:rFonts w:hint="eastAsia" w:cs="宋体"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szCs w:val="24"/>
        </w:rPr>
        <w:t>密封袋上应注明采购项目名称、项目编号及“请勿在20</w:t>
      </w:r>
      <w:r>
        <w:rPr>
          <w:rFonts w:hint="eastAsia" w:asciiTheme="majorEastAsia" w:hAnsiTheme="majorEastAsia" w:eastAsiaTheme="majorEastAsia"/>
          <w:color w:val="000000" w:themeColor="text1"/>
          <w:sz w:val="24"/>
          <w:szCs w:val="24"/>
          <w:lang w:val="en-US" w:eastAsia="zh-CN"/>
        </w:rPr>
        <w:t>20</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1</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19</w:t>
      </w:r>
      <w:r>
        <w:rPr>
          <w:rFonts w:hint="eastAsia" w:asciiTheme="majorEastAsia" w:hAnsiTheme="majorEastAsia" w:eastAsiaTheme="majorEastAsia"/>
          <w:color w:val="000000" w:themeColor="text1"/>
          <w:sz w:val="24"/>
          <w:szCs w:val="24"/>
        </w:rPr>
        <w:t>日</w:t>
      </w:r>
      <w:r>
        <w:rPr>
          <w:rFonts w:hint="eastAsia" w:asciiTheme="majorEastAsia" w:hAnsiTheme="majorEastAsia" w:eastAsiaTheme="majorEastAsia"/>
          <w:color w:val="000000" w:themeColor="text1"/>
          <w:sz w:val="24"/>
          <w:szCs w:val="24"/>
          <w:lang w:val="en-US" w:eastAsia="zh-CN"/>
        </w:rPr>
        <w:t>09</w:t>
      </w:r>
      <w:r>
        <w:rPr>
          <w:rFonts w:hint="eastAsia" w:asciiTheme="majorEastAsia" w:hAnsiTheme="majorEastAsia" w:eastAsiaTheme="majorEastAsia"/>
          <w:color w:val="000000" w:themeColor="text1"/>
          <w:sz w:val="24"/>
          <w:szCs w:val="24"/>
        </w:rPr>
        <w:t>：00（北京时间）之前启封”的字样。</w:t>
      </w:r>
    </w:p>
    <w:p>
      <w:pPr>
        <w:spacing w:line="460" w:lineRule="exact"/>
        <w:jc w:val="center"/>
        <w:outlineLvl w:val="0"/>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四、响应文件的递交</w:t>
      </w:r>
    </w:p>
    <w:p>
      <w:pPr>
        <w:topLinePunct/>
        <w:spacing w:line="460" w:lineRule="exact"/>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16.响应文件的递交</w:t>
      </w:r>
    </w:p>
    <w:p>
      <w:pPr>
        <w:topLinePunct/>
        <w:spacing w:line="460" w:lineRule="exact"/>
        <w:ind w:firstLine="360" w:firstLineChars="15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供应商应按磋商文件第一章《竞争性磋商公告》中规定的地点，</w:t>
      </w:r>
      <w:r>
        <w:rPr>
          <w:rFonts w:hint="eastAsia" w:asciiTheme="majorEastAsia" w:hAnsiTheme="majorEastAsia" w:eastAsiaTheme="majorEastAsia"/>
          <w:sz w:val="24"/>
          <w:szCs w:val="24"/>
        </w:rPr>
        <w:t>法定代表人或委托代理人应携带身份证、CA 锁于投标截止时间前递交响应文件。</w:t>
      </w:r>
    </w:p>
    <w:p>
      <w:pPr>
        <w:topLinePunct/>
        <w:spacing w:line="460" w:lineRule="exact"/>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17.迟交的响应文件</w:t>
      </w:r>
    </w:p>
    <w:p>
      <w:pPr>
        <w:tabs>
          <w:tab w:val="left" w:pos="0"/>
        </w:tabs>
        <w:topLinePunct/>
        <w:spacing w:line="460" w:lineRule="exact"/>
        <w:ind w:left="1" w:firstLine="360" w:firstLineChars="150"/>
        <w:rPr>
          <w:rFonts w:asciiTheme="majorEastAsia" w:hAnsiTheme="majorEastAsia" w:eastAsiaTheme="majorEastAsia"/>
          <w:color w:val="000000" w:themeColor="text1"/>
          <w:sz w:val="24"/>
          <w:szCs w:val="24"/>
        </w:rPr>
      </w:pPr>
      <w:r>
        <w:rPr>
          <w:rFonts w:hint="eastAsia" w:asciiTheme="majorEastAsia" w:hAnsiTheme="majorEastAsia" w:eastAsiaTheme="majorEastAsia"/>
          <w:sz w:val="24"/>
          <w:szCs w:val="24"/>
        </w:rPr>
        <w:t>形式递交至采购代理机构，修改或撤回其响应文件。补充、修改的内容为其响应文件的组成部分。</w:t>
      </w:r>
    </w:p>
    <w:p>
      <w:pPr>
        <w:tabs>
          <w:tab w:val="left" w:pos="720"/>
        </w:tabs>
        <w:topLinePunct/>
        <w:spacing w:line="460" w:lineRule="exact"/>
        <w:ind w:firstLine="360" w:firstLineChars="150"/>
        <w:rPr>
          <w:rFonts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szCs w:val="24"/>
        </w:rPr>
        <w:t>供应商对响应文件的补充、修改，应按本须知第14条的规定进行编制和签署，并按本须知第15条的规定进行密封、标记，同时还应在封套上加注“修改”字样。修改文件同样必须在提交响应文件截止时间前送达采购代理机构。</w:t>
      </w:r>
    </w:p>
    <w:p>
      <w:pPr>
        <w:tabs>
          <w:tab w:val="left" w:pos="720"/>
        </w:tabs>
        <w:topLinePunct/>
        <w:spacing w:line="460" w:lineRule="exact"/>
        <w:ind w:left="1" w:firstLine="360" w:firstLineChars="150"/>
        <w:rPr>
          <w:rFonts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szCs w:val="24"/>
        </w:rPr>
        <w:t>在提交响应文件截止时间之后，供应商不得对其响应文件做任何实质性修改。</w:t>
      </w:r>
    </w:p>
    <w:p>
      <w:pPr>
        <w:tabs>
          <w:tab w:val="left" w:pos="720"/>
        </w:tabs>
        <w:topLinePunct/>
        <w:spacing w:line="460" w:lineRule="exact"/>
        <w:ind w:firstLine="360" w:firstLineChars="150"/>
        <w:rPr>
          <w:rFonts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rPr>
        <w:t xml:space="preserve">4) </w:t>
      </w:r>
      <w:r>
        <w:rPr>
          <w:rFonts w:hint="eastAsia" w:asciiTheme="majorEastAsia" w:hAnsiTheme="majorEastAsia" w:eastAsiaTheme="majorEastAsia"/>
          <w:color w:val="000000" w:themeColor="text1"/>
          <w:sz w:val="24"/>
          <w:szCs w:val="24"/>
        </w:rPr>
        <w:t>在提交响应文件截止时间至采购代理机构在磋商文件中规定的报价有效期期满之间的这段时间内，供应商不得撤回其响应文件。</w:t>
      </w:r>
    </w:p>
    <w:p>
      <w:pPr>
        <w:rPr>
          <w:rFonts w:asciiTheme="majorEastAsia" w:hAnsiTheme="majorEastAsia" w:eastAsiaTheme="majorEastAsia"/>
        </w:rPr>
      </w:pPr>
    </w:p>
    <w:p>
      <w:pPr>
        <w:spacing w:line="460" w:lineRule="exact"/>
        <w:ind w:firstLine="275" w:firstLineChars="98"/>
        <w:jc w:val="center"/>
        <w:outlineLvl w:val="0"/>
        <w:rPr>
          <w:rFonts w:asciiTheme="majorEastAsia" w:hAnsiTheme="majorEastAsia" w:eastAsiaTheme="majorEastAsia"/>
          <w:b/>
          <w:sz w:val="28"/>
          <w:szCs w:val="28"/>
        </w:rPr>
      </w:pPr>
      <w:r>
        <w:rPr>
          <w:rFonts w:hint="eastAsia" w:asciiTheme="majorEastAsia" w:hAnsiTheme="majorEastAsia" w:eastAsiaTheme="majorEastAsia"/>
          <w:b/>
          <w:sz w:val="28"/>
          <w:szCs w:val="28"/>
        </w:rPr>
        <w:t>五、公开报价、评审与成交</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19.公开报价</w:t>
      </w:r>
    </w:p>
    <w:p>
      <w:pPr>
        <w:topLinePunct/>
        <w:spacing w:line="460" w:lineRule="exact"/>
        <w:ind w:left="2" w:leftChars="1" w:firstLine="360" w:firstLineChars="150"/>
        <w:rPr>
          <w:rFonts w:asciiTheme="majorEastAsia" w:hAnsiTheme="majorEastAsia" w:eastAsiaTheme="majorEastAsia"/>
          <w:sz w:val="24"/>
          <w:szCs w:val="24"/>
        </w:rPr>
      </w:pPr>
      <w:r>
        <w:rPr>
          <w:rFonts w:hint="eastAsia" w:cs="宋体" w:asciiTheme="majorEastAsia" w:hAnsiTheme="majorEastAsia" w:eastAsiaTheme="majorEastAsia"/>
          <w:sz w:val="24"/>
        </w:rPr>
        <w:t xml:space="preserve">1) </w:t>
      </w:r>
      <w:r>
        <w:rPr>
          <w:rFonts w:hint="eastAsia" w:asciiTheme="majorEastAsia" w:hAnsiTheme="majorEastAsia" w:eastAsiaTheme="majorEastAsia"/>
          <w:sz w:val="24"/>
          <w:szCs w:val="24"/>
        </w:rPr>
        <w:t>采购代理机构将在磋商文件第一章中规定的时间和地点组织磋商。供应商应委派授权代表准时参加，参加磋商的授权代表须签到以证明其出席。</w:t>
      </w:r>
    </w:p>
    <w:p>
      <w:pPr>
        <w:tabs>
          <w:tab w:val="left" w:pos="720"/>
        </w:tabs>
        <w:topLinePunct/>
        <w:spacing w:line="460" w:lineRule="exact"/>
        <w:ind w:firstLine="360" w:firstLineChars="150"/>
        <w:rPr>
          <w:rFonts w:asciiTheme="majorEastAsia" w:hAnsiTheme="majorEastAsia" w:eastAsiaTheme="majorEastAsia"/>
          <w:sz w:val="24"/>
          <w:szCs w:val="24"/>
        </w:rPr>
      </w:pPr>
      <w:r>
        <w:rPr>
          <w:rFonts w:hint="eastAsia" w:cs="宋体" w:asciiTheme="majorEastAsia" w:hAnsiTheme="majorEastAsia" w:eastAsiaTheme="majorEastAsia"/>
          <w:sz w:val="24"/>
        </w:rPr>
        <w:t xml:space="preserve">2) </w:t>
      </w:r>
      <w:r>
        <w:rPr>
          <w:rFonts w:hint="eastAsia" w:asciiTheme="majorEastAsia" w:hAnsiTheme="majorEastAsia" w:eastAsiaTheme="majorEastAsia"/>
          <w:sz w:val="24"/>
          <w:szCs w:val="24"/>
        </w:rPr>
        <w:t>按照本须知第18条规定，同意撤回的响应文件将不予开封。</w:t>
      </w:r>
    </w:p>
    <w:p>
      <w:pPr>
        <w:tabs>
          <w:tab w:val="left" w:pos="720"/>
        </w:tabs>
        <w:topLinePunct/>
        <w:spacing w:line="460" w:lineRule="exact"/>
        <w:ind w:firstLine="360" w:firstLineChars="150"/>
        <w:rPr>
          <w:rFonts w:asciiTheme="majorEastAsia" w:hAnsiTheme="majorEastAsia" w:eastAsiaTheme="majorEastAsia"/>
          <w:sz w:val="24"/>
          <w:szCs w:val="24"/>
        </w:rPr>
      </w:pPr>
      <w:r>
        <w:rPr>
          <w:rFonts w:hint="eastAsia" w:cs="宋体" w:asciiTheme="majorEastAsia" w:hAnsiTheme="majorEastAsia" w:eastAsiaTheme="majorEastAsia"/>
          <w:sz w:val="24"/>
        </w:rPr>
        <w:t xml:space="preserve">3) </w:t>
      </w:r>
      <w:r>
        <w:rPr>
          <w:rFonts w:hint="eastAsia" w:asciiTheme="majorEastAsia" w:hAnsiTheme="majorEastAsia" w:eastAsiaTheme="majorEastAsia"/>
          <w:sz w:val="24"/>
          <w:szCs w:val="24"/>
        </w:rPr>
        <w:t>磋商由采购代理机构主持，邀请采购人、供应商、财政部门和有关监督部门代表参加，财政部门和有关监督部门可视情况派员现场监督。</w:t>
      </w:r>
    </w:p>
    <w:p>
      <w:pPr>
        <w:tabs>
          <w:tab w:val="left" w:pos="420"/>
          <w:tab w:val="left" w:pos="720"/>
        </w:tabs>
        <w:topLinePunct/>
        <w:spacing w:line="460" w:lineRule="exact"/>
        <w:ind w:left="1" w:firstLine="360" w:firstLineChars="150"/>
        <w:rPr>
          <w:rFonts w:asciiTheme="majorEastAsia" w:hAnsiTheme="majorEastAsia" w:eastAsiaTheme="majorEastAsia"/>
          <w:sz w:val="24"/>
          <w:szCs w:val="24"/>
        </w:rPr>
      </w:pPr>
      <w:r>
        <w:rPr>
          <w:rFonts w:hint="eastAsia" w:cs="宋体" w:asciiTheme="majorEastAsia" w:hAnsiTheme="majorEastAsia" w:eastAsiaTheme="majorEastAsia"/>
          <w:sz w:val="24"/>
        </w:rPr>
        <w:t xml:space="preserve">4) </w:t>
      </w:r>
      <w:r>
        <w:rPr>
          <w:rFonts w:hint="eastAsia" w:asciiTheme="majorEastAsia" w:hAnsiTheme="majorEastAsia" w:eastAsiaTheme="majorEastAsia"/>
          <w:sz w:val="24"/>
          <w:szCs w:val="24"/>
        </w:rPr>
        <w:t>磋商时，由采购人委托的公证人员检查响应文件密封情况并公证。</w:t>
      </w:r>
    </w:p>
    <w:p>
      <w:pPr>
        <w:tabs>
          <w:tab w:val="left" w:pos="420"/>
          <w:tab w:val="left" w:pos="720"/>
        </w:tabs>
        <w:topLinePunct/>
        <w:spacing w:line="460" w:lineRule="exact"/>
        <w:ind w:left="1" w:firstLine="360" w:firstLineChars="150"/>
        <w:rPr>
          <w:rFonts w:asciiTheme="majorEastAsia" w:hAnsiTheme="majorEastAsia" w:eastAsiaTheme="majorEastAsia"/>
          <w:sz w:val="24"/>
          <w:szCs w:val="24"/>
        </w:rPr>
      </w:pPr>
      <w:r>
        <w:rPr>
          <w:rFonts w:hint="eastAsia" w:cs="宋体" w:asciiTheme="majorEastAsia" w:hAnsiTheme="majorEastAsia" w:eastAsiaTheme="majorEastAsia"/>
          <w:sz w:val="24"/>
        </w:rPr>
        <w:t xml:space="preserve">5) </w:t>
      </w:r>
      <w:r>
        <w:rPr>
          <w:rFonts w:hint="eastAsia" w:asciiTheme="majorEastAsia" w:hAnsiTheme="majorEastAsia" w:eastAsiaTheme="majorEastAsia"/>
          <w:sz w:val="24"/>
          <w:szCs w:val="24"/>
        </w:rPr>
        <w:t>磋商时，电声宣读每个供应商的《开标一览表》中的报价，以及采购代理机构认为合适的其他详细内容。</w:t>
      </w:r>
    </w:p>
    <w:p>
      <w:pPr>
        <w:tabs>
          <w:tab w:val="left" w:pos="420"/>
          <w:tab w:val="left" w:pos="720"/>
        </w:tabs>
        <w:topLinePunct/>
        <w:spacing w:line="460" w:lineRule="exact"/>
        <w:ind w:left="1" w:firstLine="360" w:firstLineChars="150"/>
        <w:rPr>
          <w:rFonts w:asciiTheme="majorEastAsia" w:hAnsiTheme="majorEastAsia" w:eastAsiaTheme="majorEastAsia"/>
          <w:sz w:val="24"/>
          <w:szCs w:val="24"/>
        </w:rPr>
      </w:pPr>
      <w:r>
        <w:rPr>
          <w:rFonts w:hint="eastAsia" w:cs="宋体" w:asciiTheme="majorEastAsia" w:hAnsiTheme="majorEastAsia" w:eastAsiaTheme="majorEastAsia"/>
          <w:sz w:val="24"/>
        </w:rPr>
        <w:t xml:space="preserve">6) </w:t>
      </w:r>
      <w:r>
        <w:rPr>
          <w:rFonts w:hint="eastAsia" w:asciiTheme="majorEastAsia" w:hAnsiTheme="majorEastAsia" w:eastAsiaTheme="majorEastAsia"/>
          <w:sz w:val="24"/>
          <w:szCs w:val="24"/>
        </w:rPr>
        <w:t>采购代理机构将做磋商记录，磋商记录包括按本须知第22.2）款规定在磋商时宣读的全部内容。</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20.响应文件的有效性</w:t>
      </w:r>
    </w:p>
    <w:p>
      <w:pPr>
        <w:tabs>
          <w:tab w:val="left" w:pos="720"/>
        </w:tabs>
        <w:topLinePunct/>
        <w:spacing w:line="460" w:lineRule="exact"/>
        <w:ind w:left="359"/>
        <w:rPr>
          <w:rFonts w:asciiTheme="majorEastAsia" w:hAnsiTheme="majorEastAsia" w:eastAsiaTheme="majorEastAsia"/>
          <w:sz w:val="24"/>
          <w:szCs w:val="24"/>
        </w:rPr>
      </w:pPr>
      <w:r>
        <w:rPr>
          <w:rFonts w:hint="eastAsia" w:cs="宋体" w:asciiTheme="majorEastAsia" w:hAnsiTheme="majorEastAsia" w:eastAsiaTheme="majorEastAsia"/>
          <w:sz w:val="24"/>
        </w:rPr>
        <w:t xml:space="preserve">1) </w:t>
      </w:r>
      <w:r>
        <w:rPr>
          <w:rFonts w:hint="eastAsia" w:asciiTheme="majorEastAsia" w:hAnsiTheme="majorEastAsia" w:eastAsiaTheme="majorEastAsia"/>
          <w:sz w:val="24"/>
          <w:szCs w:val="24"/>
        </w:rPr>
        <w:t>磋商时，响应文件出现下列情形之一的，应当作为无效响应文件，不得进入评审：</w:t>
      </w:r>
    </w:p>
    <w:p>
      <w:pPr>
        <w:numPr>
          <w:ilvl w:val="1"/>
          <w:numId w:val="6"/>
        </w:numPr>
        <w:tabs>
          <w:tab w:val="left" w:pos="1080"/>
          <w:tab w:val="clear" w:pos="1320"/>
        </w:tabs>
        <w:topLinePunct/>
        <w:spacing w:line="460" w:lineRule="exact"/>
        <w:ind w:hanging="600"/>
        <w:rPr>
          <w:rFonts w:asciiTheme="majorEastAsia" w:hAnsiTheme="majorEastAsia" w:eastAsiaTheme="majorEastAsia"/>
          <w:sz w:val="24"/>
          <w:szCs w:val="24"/>
        </w:rPr>
      </w:pPr>
      <w:r>
        <w:rPr>
          <w:rFonts w:hint="eastAsia" w:asciiTheme="majorEastAsia" w:hAnsiTheme="majorEastAsia" w:eastAsiaTheme="majorEastAsia"/>
          <w:sz w:val="24"/>
          <w:szCs w:val="24"/>
        </w:rPr>
        <w:t>逾期送达或者未送达指定地点的。</w:t>
      </w:r>
    </w:p>
    <w:p>
      <w:pPr>
        <w:numPr>
          <w:ilvl w:val="1"/>
          <w:numId w:val="6"/>
        </w:numPr>
        <w:tabs>
          <w:tab w:val="left" w:pos="1080"/>
          <w:tab w:val="clear" w:pos="1320"/>
        </w:tabs>
        <w:topLinePunct/>
        <w:spacing w:line="460" w:lineRule="exact"/>
        <w:ind w:hanging="600"/>
        <w:rPr>
          <w:rFonts w:asciiTheme="majorEastAsia" w:hAnsiTheme="majorEastAsia" w:eastAsiaTheme="majorEastAsia"/>
          <w:sz w:val="24"/>
          <w:szCs w:val="24"/>
        </w:rPr>
      </w:pPr>
      <w:r>
        <w:rPr>
          <w:rFonts w:hint="eastAsia" w:asciiTheme="majorEastAsia" w:hAnsiTheme="majorEastAsia" w:eastAsiaTheme="majorEastAsia"/>
          <w:sz w:val="24"/>
          <w:szCs w:val="24"/>
        </w:rPr>
        <w:t>响应文件未按要求密封的。</w:t>
      </w:r>
    </w:p>
    <w:p>
      <w:pPr>
        <w:numPr>
          <w:ilvl w:val="1"/>
          <w:numId w:val="6"/>
        </w:numPr>
        <w:tabs>
          <w:tab w:val="left" w:pos="1080"/>
          <w:tab w:val="clear" w:pos="1320"/>
        </w:tabs>
        <w:topLinePunct/>
        <w:spacing w:line="460" w:lineRule="exact"/>
        <w:ind w:hanging="600"/>
        <w:rPr>
          <w:rFonts w:asciiTheme="majorEastAsia" w:hAnsiTheme="majorEastAsia" w:eastAsiaTheme="majorEastAsia"/>
          <w:sz w:val="24"/>
          <w:szCs w:val="24"/>
        </w:rPr>
      </w:pPr>
      <w:r>
        <w:rPr>
          <w:rFonts w:hint="eastAsia" w:asciiTheme="majorEastAsia" w:hAnsiTheme="majorEastAsia" w:eastAsiaTheme="majorEastAsia"/>
          <w:sz w:val="24"/>
          <w:szCs w:val="24"/>
        </w:rPr>
        <w:t>要求加盖公章处未加盖公章的。</w:t>
      </w:r>
    </w:p>
    <w:p>
      <w:pPr>
        <w:numPr>
          <w:ilvl w:val="1"/>
          <w:numId w:val="6"/>
        </w:numPr>
        <w:tabs>
          <w:tab w:val="left" w:pos="1080"/>
          <w:tab w:val="clear" w:pos="1320"/>
        </w:tabs>
        <w:topLinePunct/>
        <w:spacing w:line="460" w:lineRule="exact"/>
        <w:ind w:hanging="600"/>
        <w:rPr>
          <w:rFonts w:asciiTheme="majorEastAsia" w:hAnsiTheme="majorEastAsia" w:eastAsiaTheme="majorEastAsia"/>
          <w:sz w:val="24"/>
          <w:szCs w:val="24"/>
        </w:rPr>
      </w:pPr>
      <w:r>
        <w:rPr>
          <w:rFonts w:hint="eastAsia" w:asciiTheme="majorEastAsia" w:hAnsiTheme="majorEastAsia" w:eastAsiaTheme="majorEastAsia"/>
          <w:sz w:val="24"/>
          <w:szCs w:val="24"/>
        </w:rPr>
        <w:t>法律、法规及磋商文件规定的其它情况。</w:t>
      </w:r>
    </w:p>
    <w:p>
      <w:pPr>
        <w:pStyle w:val="5"/>
        <w:spacing w:before="0" w:after="0" w:line="360" w:lineRule="auto"/>
        <w:ind w:firstLine="480" w:firstLineChars="200"/>
        <w:rPr>
          <w:rFonts w:cs="宋体" w:asciiTheme="majorEastAsia" w:hAnsiTheme="majorEastAsia" w:eastAsiaTheme="majorEastAsia"/>
          <w:b w:val="0"/>
          <w:sz w:val="24"/>
        </w:rPr>
      </w:pPr>
      <w:bookmarkStart w:id="0" w:name="_Toc459"/>
      <w:r>
        <w:rPr>
          <w:rFonts w:hint="eastAsia" w:cs="宋体" w:asciiTheme="majorEastAsia" w:hAnsiTheme="majorEastAsia" w:eastAsiaTheme="majorEastAsia"/>
          <w:b w:val="0"/>
          <w:sz w:val="24"/>
        </w:rPr>
        <w:t>2）无效报价与废标</w:t>
      </w:r>
      <w:bookmarkEnd w:id="0"/>
    </w:p>
    <w:p>
      <w:pPr>
        <w:spacing w:line="360" w:lineRule="auto"/>
        <w:ind w:firstLine="360" w:firstLineChars="150"/>
        <w:rPr>
          <w:rFonts w:cs="宋体" w:asciiTheme="majorEastAsia" w:hAnsiTheme="majorEastAsia" w:eastAsiaTheme="majorEastAsia"/>
          <w:sz w:val="24"/>
        </w:rPr>
      </w:pPr>
      <w:r>
        <w:rPr>
          <w:rFonts w:hint="eastAsia" w:cs="宋体" w:asciiTheme="majorEastAsia" w:hAnsiTheme="majorEastAsia" w:eastAsiaTheme="majorEastAsia"/>
          <w:sz w:val="24"/>
        </w:rPr>
        <w:t>（一）供应商存在下列情况之一的，响应无效:</w:t>
      </w:r>
    </w:p>
    <w:p>
      <w:pPr>
        <w:spacing w:line="360" w:lineRule="auto"/>
        <w:ind w:left="424" w:leftChars="202"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1、响应文件未按磋商文件要求签署、盖章和密封的；</w:t>
      </w:r>
    </w:p>
    <w:p>
      <w:pPr>
        <w:spacing w:line="360" w:lineRule="auto"/>
        <w:ind w:left="424" w:leftChars="202"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2、不具备磋商文件中规定的资格要求的；</w:t>
      </w:r>
    </w:p>
    <w:p>
      <w:pPr>
        <w:spacing w:line="360" w:lineRule="auto"/>
        <w:ind w:left="424" w:leftChars="202"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3、报价超过磋商文件中规定的预算金额或者最高限价的；</w:t>
      </w:r>
    </w:p>
    <w:p>
      <w:pPr>
        <w:spacing w:line="360" w:lineRule="auto"/>
        <w:ind w:left="424" w:leftChars="202"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4、响应文件含有采购人不能接受的附加条件的；</w:t>
      </w:r>
    </w:p>
    <w:p>
      <w:pPr>
        <w:spacing w:line="360" w:lineRule="auto"/>
        <w:ind w:left="424" w:leftChars="202"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5、未按规定报价的。</w:t>
      </w:r>
    </w:p>
    <w:p>
      <w:pPr>
        <w:spacing w:line="360" w:lineRule="auto"/>
        <w:ind w:left="424" w:leftChars="202"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6、供应商提供的响应文件不完整。</w:t>
      </w:r>
    </w:p>
    <w:p>
      <w:pPr>
        <w:spacing w:line="360" w:lineRule="auto"/>
        <w:ind w:left="424" w:leftChars="202"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7、未提供磋商文件要求提供的资格资质证明文件。</w:t>
      </w:r>
    </w:p>
    <w:p>
      <w:pPr>
        <w:spacing w:line="360" w:lineRule="auto"/>
        <w:ind w:left="424" w:leftChars="202"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8、法律、法规和磋商文件规定的其他无效情形。</w:t>
      </w:r>
    </w:p>
    <w:p>
      <w:pPr>
        <w:spacing w:line="360" w:lineRule="auto"/>
        <w:ind w:firstLine="360" w:firstLineChars="150"/>
        <w:rPr>
          <w:rFonts w:cs="宋体" w:asciiTheme="majorEastAsia" w:hAnsiTheme="majorEastAsia" w:eastAsiaTheme="majorEastAsia"/>
          <w:sz w:val="24"/>
        </w:rPr>
      </w:pPr>
      <w:r>
        <w:rPr>
          <w:rFonts w:hint="eastAsia" w:cs="宋体" w:asciiTheme="majorEastAsia" w:hAnsiTheme="majorEastAsia" w:eastAsiaTheme="majorEastAsia"/>
          <w:sz w:val="24"/>
        </w:rPr>
        <w:t>（二）</w:t>
      </w:r>
      <w:r>
        <w:rPr>
          <w:rFonts w:hint="eastAsia" w:cs="宋体" w:asciiTheme="majorEastAsia" w:hAnsiTheme="majorEastAsia" w:eastAsiaTheme="majorEastAsia"/>
          <w:sz w:val="24"/>
          <w:szCs w:val="24"/>
        </w:rPr>
        <w:t>供应商</w:t>
      </w:r>
      <w:r>
        <w:rPr>
          <w:rFonts w:hint="eastAsia" w:cs="宋体" w:asciiTheme="majorEastAsia" w:hAnsiTheme="majorEastAsia" w:eastAsiaTheme="majorEastAsia"/>
          <w:sz w:val="24"/>
        </w:rPr>
        <w:t>有下列情况之一，其报价不仅被视为废标，而且采购人将严格按照相关法律、法规及规章制度的规定行使权利。</w:t>
      </w:r>
      <w:r>
        <w:rPr>
          <w:rFonts w:hint="eastAsia" w:cs="宋体" w:asciiTheme="majorEastAsia" w:hAnsiTheme="majorEastAsia" w:eastAsiaTheme="majorEastAsia"/>
          <w:sz w:val="24"/>
          <w:szCs w:val="24"/>
        </w:rPr>
        <w:t>供应商</w:t>
      </w:r>
      <w:r>
        <w:rPr>
          <w:rFonts w:hint="eastAsia" w:cs="宋体" w:asciiTheme="majorEastAsia" w:hAnsiTheme="majorEastAsia" w:eastAsiaTheme="majorEastAsia"/>
          <w:sz w:val="24"/>
        </w:rPr>
        <w:t>给采购人和代理采购人造成损失的，应予以赔偿。</w:t>
      </w:r>
    </w:p>
    <w:p>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w:t>
      </w:r>
      <w:r>
        <w:rPr>
          <w:rFonts w:hint="eastAsia" w:cs="宋体" w:asciiTheme="majorEastAsia" w:hAnsiTheme="majorEastAsia" w:eastAsiaTheme="majorEastAsia"/>
          <w:sz w:val="24"/>
          <w:szCs w:val="24"/>
        </w:rPr>
        <w:t>供应商</w:t>
      </w:r>
      <w:r>
        <w:rPr>
          <w:rFonts w:hint="eastAsia" w:cs="宋体" w:asciiTheme="majorEastAsia" w:hAnsiTheme="majorEastAsia" w:eastAsiaTheme="majorEastAsia"/>
          <w:sz w:val="24"/>
        </w:rPr>
        <w:t>提供的有关资格、资质证明文件不真实或提供虚假报价材料。</w:t>
      </w:r>
    </w:p>
    <w:p>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w:t>
      </w:r>
      <w:r>
        <w:rPr>
          <w:rFonts w:hint="eastAsia" w:cs="宋体" w:asciiTheme="majorEastAsia" w:hAnsiTheme="majorEastAsia" w:eastAsiaTheme="majorEastAsia"/>
          <w:sz w:val="24"/>
          <w:szCs w:val="24"/>
        </w:rPr>
        <w:t>供应商</w:t>
      </w:r>
      <w:r>
        <w:rPr>
          <w:rFonts w:hint="eastAsia" w:cs="宋体" w:asciiTheme="majorEastAsia" w:hAnsiTheme="majorEastAsia" w:eastAsiaTheme="majorEastAsia"/>
          <w:sz w:val="24"/>
        </w:rPr>
        <w:t>在报价有效期内撤回报价。</w:t>
      </w:r>
    </w:p>
    <w:p>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3、在整个报价过程中，</w:t>
      </w:r>
      <w:r>
        <w:rPr>
          <w:rFonts w:hint="eastAsia" w:cs="宋体" w:asciiTheme="majorEastAsia" w:hAnsiTheme="majorEastAsia" w:eastAsiaTheme="majorEastAsia"/>
          <w:sz w:val="24"/>
          <w:szCs w:val="24"/>
        </w:rPr>
        <w:t>供应商</w:t>
      </w:r>
      <w:r>
        <w:rPr>
          <w:rFonts w:hint="eastAsia" w:cs="宋体" w:asciiTheme="majorEastAsia" w:hAnsiTheme="majorEastAsia" w:eastAsiaTheme="majorEastAsia"/>
          <w:sz w:val="24"/>
        </w:rPr>
        <w:t>有企图影响成交结果的任何活动。</w:t>
      </w:r>
    </w:p>
    <w:p>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4、</w:t>
      </w:r>
      <w:r>
        <w:rPr>
          <w:rFonts w:hint="eastAsia" w:cs="宋体" w:asciiTheme="majorEastAsia" w:hAnsiTheme="majorEastAsia" w:eastAsiaTheme="majorEastAsia"/>
          <w:sz w:val="24"/>
          <w:szCs w:val="24"/>
        </w:rPr>
        <w:t>供应商</w:t>
      </w:r>
      <w:r>
        <w:rPr>
          <w:rFonts w:hint="eastAsia" w:cs="宋体" w:asciiTheme="majorEastAsia" w:hAnsiTheme="majorEastAsia" w:eastAsiaTheme="majorEastAsia"/>
          <w:sz w:val="24"/>
        </w:rPr>
        <w:t>以任何方式诋毁其他</w:t>
      </w:r>
      <w:r>
        <w:rPr>
          <w:rFonts w:hint="eastAsia" w:cs="宋体" w:asciiTheme="majorEastAsia" w:hAnsiTheme="majorEastAsia" w:eastAsiaTheme="majorEastAsia"/>
          <w:sz w:val="24"/>
          <w:szCs w:val="24"/>
        </w:rPr>
        <w:t>供应商</w:t>
      </w:r>
      <w:r>
        <w:rPr>
          <w:rFonts w:hint="eastAsia" w:cs="宋体" w:asciiTheme="majorEastAsia" w:hAnsiTheme="majorEastAsia" w:eastAsiaTheme="majorEastAsia"/>
          <w:sz w:val="24"/>
        </w:rPr>
        <w:t>。</w:t>
      </w:r>
    </w:p>
    <w:p>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5、</w:t>
      </w:r>
      <w:r>
        <w:rPr>
          <w:rFonts w:hint="eastAsia" w:cs="宋体" w:asciiTheme="majorEastAsia" w:hAnsiTheme="majorEastAsia" w:eastAsiaTheme="majorEastAsia"/>
          <w:sz w:val="24"/>
          <w:szCs w:val="24"/>
        </w:rPr>
        <w:t>供应商</w:t>
      </w:r>
      <w:r>
        <w:rPr>
          <w:rFonts w:hint="eastAsia" w:cs="宋体" w:asciiTheme="majorEastAsia" w:hAnsiTheme="majorEastAsia" w:eastAsiaTheme="majorEastAsia"/>
          <w:sz w:val="24"/>
        </w:rPr>
        <w:t>串通报价。</w:t>
      </w:r>
    </w:p>
    <w:p>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6、</w:t>
      </w:r>
      <w:r>
        <w:rPr>
          <w:rFonts w:hint="eastAsia" w:cs="宋体" w:asciiTheme="majorEastAsia" w:hAnsiTheme="majorEastAsia" w:eastAsiaTheme="majorEastAsia"/>
          <w:sz w:val="24"/>
          <w:szCs w:val="24"/>
        </w:rPr>
        <w:t>供应商</w:t>
      </w:r>
      <w:r>
        <w:rPr>
          <w:rFonts w:hint="eastAsia" w:cs="宋体" w:asciiTheme="majorEastAsia" w:hAnsiTheme="majorEastAsia" w:eastAsiaTheme="majorEastAsia"/>
          <w:sz w:val="24"/>
        </w:rPr>
        <w:t>向采购人、采购代理机构、竞争性磋商小组成员提供不正当利益。</w:t>
      </w:r>
    </w:p>
    <w:p>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7、成交供应商不按要求提交成交服务费。</w:t>
      </w:r>
    </w:p>
    <w:p>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8、成交供应商不按规定签订合同。</w:t>
      </w:r>
    </w:p>
    <w:p>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9、法律、法规规定的其他情况。</w:t>
      </w:r>
    </w:p>
    <w:p>
      <w:pPr>
        <w:spacing w:line="360" w:lineRule="auto"/>
        <w:ind w:firstLine="218" w:firstLineChars="91"/>
        <w:rPr>
          <w:rFonts w:cs="宋体" w:asciiTheme="majorEastAsia" w:hAnsiTheme="majorEastAsia" w:eastAsiaTheme="majorEastAsia"/>
          <w:sz w:val="24"/>
        </w:rPr>
      </w:pPr>
      <w:r>
        <w:rPr>
          <w:rFonts w:hint="eastAsia" w:cs="宋体" w:asciiTheme="majorEastAsia" w:hAnsiTheme="majorEastAsia" w:eastAsiaTheme="majorEastAsia"/>
          <w:sz w:val="24"/>
        </w:rPr>
        <w:t>（三）有下列情形之一的，视为供应商串通响应，其响应无效：</w:t>
      </w:r>
    </w:p>
    <w:p>
      <w:pPr>
        <w:spacing w:line="360" w:lineRule="auto"/>
        <w:ind w:left="420"/>
        <w:rPr>
          <w:rFonts w:cs="宋体" w:asciiTheme="majorEastAsia" w:hAnsiTheme="majorEastAsia" w:eastAsiaTheme="majorEastAsia"/>
          <w:sz w:val="24"/>
        </w:rPr>
      </w:pPr>
      <w:r>
        <w:rPr>
          <w:rFonts w:hint="eastAsia" w:cs="宋体" w:asciiTheme="majorEastAsia" w:hAnsiTheme="majorEastAsia" w:eastAsiaTheme="majorEastAsia"/>
          <w:sz w:val="24"/>
        </w:rPr>
        <w:t>1、不同供应商的响应文件由同一单位或者个人编制；</w:t>
      </w:r>
    </w:p>
    <w:p>
      <w:pPr>
        <w:spacing w:line="360" w:lineRule="auto"/>
        <w:ind w:left="420"/>
        <w:rPr>
          <w:rFonts w:cs="宋体" w:asciiTheme="majorEastAsia" w:hAnsiTheme="majorEastAsia" w:eastAsiaTheme="majorEastAsia"/>
          <w:sz w:val="24"/>
        </w:rPr>
      </w:pPr>
      <w:r>
        <w:rPr>
          <w:rFonts w:hint="eastAsia" w:cs="宋体" w:asciiTheme="majorEastAsia" w:hAnsiTheme="majorEastAsia" w:eastAsiaTheme="majorEastAsia"/>
          <w:sz w:val="24"/>
        </w:rPr>
        <w:t>2、不同供应商委托同一单位或者个人办理响应事宜；</w:t>
      </w:r>
    </w:p>
    <w:p>
      <w:pPr>
        <w:spacing w:line="360" w:lineRule="auto"/>
        <w:ind w:left="420"/>
        <w:rPr>
          <w:rFonts w:cs="宋体" w:asciiTheme="majorEastAsia" w:hAnsiTheme="majorEastAsia" w:eastAsiaTheme="majorEastAsia"/>
          <w:sz w:val="24"/>
        </w:rPr>
      </w:pPr>
      <w:r>
        <w:rPr>
          <w:rFonts w:hint="eastAsia" w:cs="宋体" w:asciiTheme="majorEastAsia" w:hAnsiTheme="majorEastAsia" w:eastAsiaTheme="majorEastAsia"/>
          <w:sz w:val="24"/>
        </w:rPr>
        <w:t>3、不同供应商的响应文件载明的项目管理成员或者联系人员为同一人；</w:t>
      </w:r>
    </w:p>
    <w:p>
      <w:pPr>
        <w:spacing w:line="360" w:lineRule="auto"/>
        <w:ind w:left="420"/>
        <w:rPr>
          <w:rFonts w:cs="宋体" w:asciiTheme="majorEastAsia" w:hAnsiTheme="majorEastAsia" w:eastAsiaTheme="majorEastAsia"/>
          <w:sz w:val="24"/>
        </w:rPr>
      </w:pPr>
      <w:r>
        <w:rPr>
          <w:rFonts w:hint="eastAsia" w:cs="宋体" w:asciiTheme="majorEastAsia" w:hAnsiTheme="majorEastAsia" w:eastAsiaTheme="majorEastAsia"/>
          <w:sz w:val="24"/>
        </w:rPr>
        <w:t>4、不同供应商的响应文件异常一致或者响应报价呈规律性差异；</w:t>
      </w:r>
    </w:p>
    <w:p>
      <w:pPr>
        <w:spacing w:line="360" w:lineRule="auto"/>
        <w:ind w:left="420"/>
        <w:rPr>
          <w:rFonts w:cs="宋体" w:asciiTheme="majorEastAsia" w:hAnsiTheme="majorEastAsia" w:eastAsiaTheme="majorEastAsia"/>
          <w:sz w:val="24"/>
        </w:rPr>
      </w:pPr>
      <w:r>
        <w:rPr>
          <w:rFonts w:hint="eastAsia" w:cs="宋体" w:asciiTheme="majorEastAsia" w:hAnsiTheme="majorEastAsia" w:eastAsiaTheme="majorEastAsia"/>
          <w:sz w:val="24"/>
        </w:rPr>
        <w:t>5、不同供应商的响应文件相互混装；</w:t>
      </w:r>
    </w:p>
    <w:p>
      <w:pPr>
        <w:tabs>
          <w:tab w:val="left" w:pos="720"/>
        </w:tabs>
        <w:topLinePunct/>
        <w:spacing w:line="460" w:lineRule="exact"/>
        <w:ind w:firstLine="360" w:firstLineChars="150"/>
        <w:rPr>
          <w:rFonts w:asciiTheme="majorEastAsia" w:hAnsiTheme="majorEastAsia" w:eastAsiaTheme="majorEastAsia"/>
          <w:sz w:val="24"/>
          <w:szCs w:val="24"/>
        </w:rPr>
      </w:pPr>
      <w:r>
        <w:rPr>
          <w:rFonts w:hint="eastAsia" w:cs="宋体" w:asciiTheme="majorEastAsia" w:hAnsiTheme="majorEastAsia" w:eastAsiaTheme="majorEastAsia"/>
          <w:sz w:val="24"/>
        </w:rPr>
        <w:t xml:space="preserve">3) </w:t>
      </w:r>
      <w:r>
        <w:rPr>
          <w:rFonts w:hint="eastAsia" w:asciiTheme="majorEastAsia" w:hAnsiTheme="majorEastAsia" w:eastAsiaTheme="majorEastAsia"/>
          <w:sz w:val="24"/>
          <w:szCs w:val="24"/>
        </w:rPr>
        <w:t>采购代理机构将有效响应文件送磋商小组评审、比较。</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21.磋商小组</w:t>
      </w:r>
    </w:p>
    <w:p>
      <w:pPr>
        <w:topLinePunct/>
        <w:spacing w:line="460" w:lineRule="exact"/>
        <w:ind w:firstLine="360" w:firstLineChars="150"/>
        <w:rPr>
          <w:rFonts w:cs="宋体" w:asciiTheme="majorEastAsia" w:hAnsiTheme="majorEastAsia" w:eastAsiaTheme="majorEastAsia"/>
          <w:sz w:val="24"/>
        </w:rPr>
      </w:pPr>
      <w:r>
        <w:rPr>
          <w:rFonts w:hint="eastAsia" w:cs="宋体" w:asciiTheme="majorEastAsia" w:hAnsiTheme="majorEastAsia" w:eastAsiaTheme="majorEastAsia"/>
          <w:sz w:val="24"/>
        </w:rPr>
        <w:t>采购代理机构将根据本项目的特点组建磋商小组，其成员由</w:t>
      </w:r>
      <w:r>
        <w:rPr>
          <w:rFonts w:cs="宋体" w:asciiTheme="majorEastAsia" w:hAnsiTheme="majorEastAsia" w:eastAsiaTheme="majorEastAsia"/>
          <w:sz w:val="24"/>
        </w:rPr>
        <w:t>采购人代表和评审专家共</w:t>
      </w:r>
      <w:r>
        <w:rPr>
          <w:rFonts w:hint="eastAsia" w:cs="宋体" w:asciiTheme="majorEastAsia" w:hAnsiTheme="majorEastAsia" w:eastAsiaTheme="majorEastAsia"/>
          <w:sz w:val="24"/>
        </w:rPr>
        <w:t>3</w:t>
      </w:r>
      <w:r>
        <w:rPr>
          <w:rFonts w:cs="宋体" w:asciiTheme="majorEastAsia" w:hAnsiTheme="majorEastAsia" w:eastAsiaTheme="majorEastAsia"/>
          <w:sz w:val="24"/>
        </w:rPr>
        <w:t>人</w:t>
      </w:r>
      <w:r>
        <w:rPr>
          <w:rFonts w:hint="eastAsia" w:cs="宋体" w:asciiTheme="majorEastAsia" w:hAnsiTheme="majorEastAsia" w:eastAsiaTheme="majorEastAsia"/>
          <w:sz w:val="24"/>
        </w:rPr>
        <w:t>及</w:t>
      </w:r>
      <w:r>
        <w:rPr>
          <w:rFonts w:cs="宋体" w:asciiTheme="majorEastAsia" w:hAnsiTheme="majorEastAsia" w:eastAsiaTheme="majorEastAsia"/>
          <w:sz w:val="24"/>
        </w:rPr>
        <w:t>以上单数组成</w:t>
      </w:r>
      <w:r>
        <w:rPr>
          <w:rFonts w:hint="eastAsia" w:cs="宋体" w:asciiTheme="majorEastAsia" w:hAnsiTheme="majorEastAsia" w:eastAsiaTheme="majorEastAsia"/>
          <w:sz w:val="24"/>
        </w:rPr>
        <w:t>，</w:t>
      </w:r>
      <w:r>
        <w:rPr>
          <w:rFonts w:cs="宋体" w:asciiTheme="majorEastAsia" w:hAnsiTheme="majorEastAsia" w:eastAsiaTheme="majorEastAsia"/>
          <w:sz w:val="24"/>
        </w:rPr>
        <w:t>其中评审专家人数不得少于磋商小组成员总数的</w:t>
      </w:r>
      <w:r>
        <w:rPr>
          <w:rFonts w:hint="eastAsia" w:cs="宋体" w:asciiTheme="majorEastAsia" w:hAnsiTheme="majorEastAsia" w:eastAsiaTheme="majorEastAsia"/>
          <w:sz w:val="24"/>
        </w:rPr>
        <w:t>三分之二，磋商小组负责对响应文件进行审查、质疑、评审，确定成交供应商。</w:t>
      </w:r>
    </w:p>
    <w:p>
      <w:pPr>
        <w:spacing w:line="48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22.公开唱价</w:t>
      </w:r>
    </w:p>
    <w:p>
      <w:pPr>
        <w:spacing w:line="480" w:lineRule="exact"/>
        <w:ind w:firstLine="360" w:firstLineChars="150"/>
        <w:rPr>
          <w:rFonts w:asciiTheme="majorEastAsia" w:hAnsiTheme="majorEastAsia" w:eastAsiaTheme="majorEastAsia"/>
          <w:sz w:val="24"/>
          <w:szCs w:val="24"/>
        </w:rPr>
      </w:pPr>
      <w:r>
        <w:rPr>
          <w:rFonts w:hint="eastAsia" w:cs="宋体" w:asciiTheme="majorEastAsia" w:hAnsiTheme="majorEastAsia" w:eastAsiaTheme="majorEastAsia"/>
          <w:sz w:val="24"/>
        </w:rPr>
        <w:t>1) 采购</w:t>
      </w:r>
      <w:r>
        <w:rPr>
          <w:rFonts w:hint="eastAsia" w:asciiTheme="majorEastAsia" w:hAnsiTheme="majorEastAsia" w:eastAsiaTheme="majorEastAsia"/>
          <w:sz w:val="24"/>
          <w:szCs w:val="24"/>
        </w:rPr>
        <w:t>代理机构组织并主持磋商，参加报价的授权代表应签名报到，以证明其出席磋商会议。</w:t>
      </w:r>
    </w:p>
    <w:p>
      <w:pPr>
        <w:spacing w:line="480" w:lineRule="exact"/>
        <w:ind w:firstLine="360" w:firstLineChars="150"/>
        <w:rPr>
          <w:rFonts w:asciiTheme="majorEastAsia" w:hAnsiTheme="majorEastAsia" w:eastAsiaTheme="majorEastAsia"/>
          <w:sz w:val="24"/>
          <w:szCs w:val="24"/>
        </w:rPr>
      </w:pPr>
      <w:r>
        <w:rPr>
          <w:rFonts w:hint="eastAsia" w:cs="宋体" w:asciiTheme="majorEastAsia" w:hAnsiTheme="majorEastAsia" w:eastAsiaTheme="majorEastAsia"/>
          <w:sz w:val="24"/>
        </w:rPr>
        <w:t xml:space="preserve">2) </w:t>
      </w:r>
      <w:r>
        <w:rPr>
          <w:rFonts w:hint="eastAsia" w:asciiTheme="majorEastAsia" w:hAnsiTheme="majorEastAsia" w:eastAsiaTheme="majorEastAsia"/>
          <w:sz w:val="24"/>
          <w:szCs w:val="24"/>
        </w:rPr>
        <w:t>唱价：采购代理机构工作人员将当众拆启并宣读每个供应商的《开标一览表》中的报价，以及采购代理机构认为合适的其他详细内容。</w:t>
      </w:r>
    </w:p>
    <w:p>
      <w:pPr>
        <w:spacing w:line="48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23.评审原则</w:t>
      </w:r>
    </w:p>
    <w:p>
      <w:pPr>
        <w:spacing w:line="480" w:lineRule="exact"/>
        <w:ind w:firstLine="360" w:firstLineChars="150"/>
        <w:rPr>
          <w:rFonts w:cs="宋体" w:asciiTheme="majorEastAsia" w:hAnsiTheme="majorEastAsia" w:eastAsiaTheme="majorEastAsia"/>
          <w:sz w:val="24"/>
        </w:rPr>
      </w:pPr>
      <w:r>
        <w:rPr>
          <w:rFonts w:hint="eastAsia" w:cs="宋体" w:asciiTheme="majorEastAsia" w:hAnsiTheme="majorEastAsia" w:eastAsiaTheme="majorEastAsia"/>
          <w:sz w:val="24"/>
        </w:rPr>
        <w:t>1) 客观性原则：磋商小组将严格按照磋商文件的要求，对供应商的响应文件进行认真评审；磋商小组对响应文件的评审仅依据响应文件本身，而不依据响应文件以外的任何因素。</w:t>
      </w:r>
    </w:p>
    <w:p>
      <w:pPr>
        <w:spacing w:line="480" w:lineRule="exact"/>
        <w:ind w:firstLine="360" w:firstLineChars="150"/>
        <w:rPr>
          <w:rFonts w:cs="宋体" w:asciiTheme="majorEastAsia" w:hAnsiTheme="majorEastAsia" w:eastAsiaTheme="majorEastAsia"/>
          <w:sz w:val="24"/>
        </w:rPr>
      </w:pPr>
      <w:r>
        <w:rPr>
          <w:rFonts w:hint="eastAsia" w:cs="宋体" w:asciiTheme="majorEastAsia" w:hAnsiTheme="majorEastAsia" w:eastAsiaTheme="majorEastAsia"/>
          <w:sz w:val="24"/>
        </w:rPr>
        <w:t>2) 统一性原则：磋商小组将按照统一的原则和评审方法，用同一标准进行评审。</w:t>
      </w:r>
    </w:p>
    <w:p>
      <w:pPr>
        <w:spacing w:line="480" w:lineRule="exact"/>
        <w:ind w:firstLine="360" w:firstLineChars="150"/>
        <w:rPr>
          <w:rFonts w:cs="宋体" w:asciiTheme="majorEastAsia" w:hAnsiTheme="majorEastAsia" w:eastAsiaTheme="majorEastAsia"/>
          <w:sz w:val="24"/>
        </w:rPr>
      </w:pPr>
      <w:r>
        <w:rPr>
          <w:rFonts w:hint="eastAsia" w:cs="宋体" w:asciiTheme="majorEastAsia" w:hAnsiTheme="majorEastAsia" w:eastAsiaTheme="majorEastAsia"/>
          <w:sz w:val="24"/>
        </w:rPr>
        <w:t>3) 独立性原则：评审工作在磋商小组内部独立进行，不受外界任何因素的干扰和影响。竞争性磋商小组成员对出具的评审意见承担个人责任。</w:t>
      </w:r>
    </w:p>
    <w:p>
      <w:pPr>
        <w:spacing w:line="480" w:lineRule="exact"/>
        <w:ind w:firstLine="360" w:firstLineChars="150"/>
        <w:rPr>
          <w:rFonts w:cs="宋体" w:asciiTheme="majorEastAsia" w:hAnsiTheme="majorEastAsia" w:eastAsiaTheme="majorEastAsia"/>
          <w:sz w:val="24"/>
        </w:rPr>
      </w:pPr>
      <w:r>
        <w:rPr>
          <w:rFonts w:hint="eastAsia" w:cs="宋体" w:asciiTheme="majorEastAsia" w:hAnsiTheme="majorEastAsia" w:eastAsiaTheme="majorEastAsia"/>
          <w:sz w:val="24"/>
        </w:rPr>
        <w:t>4) 保密性原则：采购代理机构应当采取必要的措施，保证评审在严格保密的情况下进行。</w:t>
      </w:r>
    </w:p>
    <w:p>
      <w:pPr>
        <w:spacing w:line="480" w:lineRule="exact"/>
        <w:ind w:firstLine="360" w:firstLineChars="150"/>
        <w:rPr>
          <w:rFonts w:cs="宋体" w:asciiTheme="majorEastAsia" w:hAnsiTheme="majorEastAsia" w:eastAsiaTheme="majorEastAsia"/>
          <w:sz w:val="24"/>
        </w:rPr>
      </w:pPr>
      <w:r>
        <w:rPr>
          <w:rFonts w:hint="eastAsia" w:cs="宋体" w:asciiTheme="majorEastAsia" w:hAnsiTheme="majorEastAsia" w:eastAsiaTheme="majorEastAsia"/>
          <w:sz w:val="24"/>
        </w:rPr>
        <w:t>5) 综合性原则：磋商小组将综合分析、评审供应商的各项指标，而不以单项指标的优劣评定出成交人。</w:t>
      </w:r>
    </w:p>
    <w:p>
      <w:pPr>
        <w:widowControl/>
        <w:spacing w:line="480" w:lineRule="exact"/>
        <w:jc w:val="left"/>
        <w:rPr>
          <w:rFonts w:asciiTheme="majorEastAsia" w:hAnsiTheme="majorEastAsia" w:eastAsiaTheme="majorEastAsia"/>
          <w:b/>
          <w:kern w:val="0"/>
          <w:sz w:val="24"/>
          <w:szCs w:val="24"/>
        </w:rPr>
      </w:pPr>
      <w:r>
        <w:rPr>
          <w:rFonts w:hint="eastAsia" w:asciiTheme="majorEastAsia" w:hAnsiTheme="majorEastAsia" w:eastAsiaTheme="majorEastAsia"/>
          <w:b/>
          <w:sz w:val="24"/>
          <w:szCs w:val="24"/>
        </w:rPr>
        <w:t>24.</w:t>
      </w:r>
      <w:r>
        <w:rPr>
          <w:rFonts w:hint="eastAsia" w:asciiTheme="majorEastAsia" w:hAnsiTheme="majorEastAsia" w:eastAsiaTheme="majorEastAsia"/>
          <w:b/>
          <w:kern w:val="0"/>
          <w:sz w:val="24"/>
          <w:szCs w:val="24"/>
        </w:rPr>
        <w:t>评审</w:t>
      </w:r>
    </w:p>
    <w:p>
      <w:pPr>
        <w:widowControl/>
        <w:spacing w:line="480" w:lineRule="exact"/>
        <w:jc w:val="left"/>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 xml:space="preserve">   </w:t>
      </w:r>
      <w:r>
        <w:rPr>
          <w:rFonts w:hint="eastAsia" w:cs="宋体" w:asciiTheme="majorEastAsia" w:hAnsiTheme="majorEastAsia" w:eastAsiaTheme="majorEastAsia"/>
          <w:sz w:val="24"/>
        </w:rPr>
        <w:t xml:space="preserve">1) </w:t>
      </w:r>
      <w:r>
        <w:rPr>
          <w:rFonts w:hint="eastAsia" w:asciiTheme="majorEastAsia" w:hAnsiTheme="majorEastAsia" w:eastAsiaTheme="majorEastAsia"/>
          <w:kern w:val="0"/>
          <w:sz w:val="24"/>
          <w:szCs w:val="24"/>
        </w:rPr>
        <w:t>磋商小组将审查响应文件是否完整；是否按规定报价；报价是否有计算错误；响应文件是否已按磋商文件的要求签署。</w:t>
      </w:r>
    </w:p>
    <w:p>
      <w:pPr>
        <w:widowControl/>
        <w:spacing w:line="480" w:lineRule="exact"/>
        <w:jc w:val="left"/>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 xml:space="preserve">   </w:t>
      </w:r>
      <w:r>
        <w:rPr>
          <w:rFonts w:hint="eastAsia" w:cs="宋体" w:asciiTheme="majorEastAsia" w:hAnsiTheme="majorEastAsia" w:eastAsiaTheme="majorEastAsia"/>
          <w:sz w:val="24"/>
        </w:rPr>
        <w:t xml:space="preserve">2) </w:t>
      </w:r>
      <w:r>
        <w:rPr>
          <w:rFonts w:hint="eastAsia" w:asciiTheme="majorEastAsia" w:hAnsiTheme="majorEastAsia" w:eastAsiaTheme="majorEastAsia"/>
          <w:kern w:val="0"/>
          <w:sz w:val="24"/>
          <w:szCs w:val="24"/>
        </w:rPr>
        <w:t>磋商小组将依据供应商提供的有关证明文件审查供应商的财务、技术和供货能力，如果确定供应商无资格或无能力履行合同，其报价将被拒绝。</w:t>
      </w:r>
    </w:p>
    <w:p>
      <w:pPr>
        <w:widowControl/>
        <w:spacing w:line="480" w:lineRule="exact"/>
        <w:ind w:firstLine="360" w:firstLineChars="150"/>
        <w:jc w:val="left"/>
        <w:rPr>
          <w:rFonts w:asciiTheme="majorEastAsia" w:hAnsiTheme="majorEastAsia" w:eastAsiaTheme="majorEastAsia"/>
          <w:kern w:val="0"/>
          <w:sz w:val="24"/>
          <w:szCs w:val="24"/>
        </w:rPr>
      </w:pPr>
      <w:r>
        <w:rPr>
          <w:rFonts w:hint="eastAsia" w:cs="宋体" w:asciiTheme="majorEastAsia" w:hAnsiTheme="majorEastAsia" w:eastAsiaTheme="majorEastAsia"/>
          <w:sz w:val="24"/>
        </w:rPr>
        <w:t xml:space="preserve">3) </w:t>
      </w:r>
      <w:r>
        <w:rPr>
          <w:rFonts w:hint="eastAsia" w:asciiTheme="majorEastAsia" w:hAnsiTheme="majorEastAsia" w:eastAsiaTheme="majorEastAsia"/>
          <w:kern w:val="0"/>
          <w:sz w:val="24"/>
          <w:szCs w:val="24"/>
        </w:rPr>
        <w:t>磋商小组将确定每一供应商是否对磋商文件的要求做出了实质性的响应，而没有重大偏离。实质性响应的响应文件是指响应文件符合磋商文件的所有条款、条件和规定且没有重大偏离或保留。</w:t>
      </w:r>
    </w:p>
    <w:p>
      <w:pPr>
        <w:widowControl/>
        <w:spacing w:line="480" w:lineRule="exact"/>
        <w:ind w:firstLine="360" w:firstLineChars="150"/>
        <w:jc w:val="left"/>
        <w:rPr>
          <w:rFonts w:asciiTheme="majorEastAsia" w:hAnsiTheme="majorEastAsia" w:eastAsiaTheme="majorEastAsia"/>
          <w:kern w:val="0"/>
          <w:sz w:val="24"/>
          <w:szCs w:val="24"/>
        </w:rPr>
      </w:pPr>
      <w:r>
        <w:rPr>
          <w:rFonts w:hint="eastAsia" w:cs="宋体" w:asciiTheme="majorEastAsia" w:hAnsiTheme="majorEastAsia" w:eastAsiaTheme="majorEastAsia"/>
          <w:sz w:val="24"/>
        </w:rPr>
        <w:t xml:space="preserve">4) </w:t>
      </w:r>
      <w:r>
        <w:rPr>
          <w:rFonts w:hint="eastAsia" w:asciiTheme="majorEastAsia" w:hAnsiTheme="majorEastAsia" w:eastAsiaTheme="majorEastAsia"/>
          <w:kern w:val="0"/>
          <w:sz w:val="24"/>
          <w:szCs w:val="24"/>
        </w:rPr>
        <w:t>磋商小组将拒绝被确定为非实质性响应的响应文件，供应商不能通过修正或撤销响应文件中的不符之处而使其成为实质性响应的响应文件。</w:t>
      </w:r>
    </w:p>
    <w:p>
      <w:pPr>
        <w:tabs>
          <w:tab w:val="left" w:pos="0"/>
        </w:tabs>
        <w:topLinePunct/>
        <w:spacing w:line="460" w:lineRule="exact"/>
        <w:ind w:firstLine="360" w:firstLineChars="150"/>
        <w:rPr>
          <w:rFonts w:asciiTheme="majorEastAsia" w:hAnsiTheme="majorEastAsia" w:eastAsiaTheme="majorEastAsia"/>
          <w:sz w:val="24"/>
          <w:szCs w:val="24"/>
          <w:u w:val="single"/>
        </w:rPr>
      </w:pPr>
      <w:r>
        <w:rPr>
          <w:rFonts w:hint="eastAsia" w:cs="宋体" w:asciiTheme="majorEastAsia" w:hAnsiTheme="majorEastAsia" w:eastAsiaTheme="majorEastAsia"/>
          <w:sz w:val="24"/>
        </w:rPr>
        <w:t xml:space="preserve">5) </w:t>
      </w:r>
      <w:r>
        <w:rPr>
          <w:rFonts w:hint="eastAsia" w:asciiTheme="majorEastAsia" w:hAnsiTheme="majorEastAsia" w:eastAsiaTheme="majorEastAsia"/>
          <w:kern w:val="0"/>
          <w:sz w:val="24"/>
          <w:szCs w:val="24"/>
        </w:rPr>
        <w:t>磋商小组有权向供应商质疑、询问，请供应商澄清其响应文件中含义不明确的内容，供应商有义务进行答疑和澄清，修改响应文件中不构成重大偏离的、微小的、非正规、不一致或不规则的地方。但是修改和补充的内容不应改变响应文件的实质性内容，供应商修改和补充的内容以书面承诺材料为准。</w:t>
      </w:r>
    </w:p>
    <w:p>
      <w:pPr>
        <w:widowControl/>
        <w:spacing w:line="480" w:lineRule="exact"/>
        <w:ind w:firstLine="360" w:firstLineChars="150"/>
        <w:jc w:val="left"/>
        <w:rPr>
          <w:rFonts w:asciiTheme="majorEastAsia" w:hAnsiTheme="majorEastAsia" w:eastAsiaTheme="majorEastAsia"/>
          <w:kern w:val="0"/>
          <w:sz w:val="24"/>
          <w:szCs w:val="24"/>
        </w:rPr>
      </w:pPr>
      <w:r>
        <w:rPr>
          <w:rFonts w:hint="eastAsia" w:cs="宋体" w:asciiTheme="majorEastAsia" w:hAnsiTheme="majorEastAsia" w:eastAsiaTheme="majorEastAsia"/>
          <w:sz w:val="24"/>
        </w:rPr>
        <w:t xml:space="preserve">6) </w:t>
      </w:r>
      <w:r>
        <w:rPr>
          <w:rFonts w:hint="eastAsia" w:asciiTheme="majorEastAsia" w:hAnsiTheme="majorEastAsia" w:eastAsiaTheme="majorEastAsia"/>
          <w:kern w:val="0"/>
          <w:sz w:val="24"/>
          <w:szCs w:val="24"/>
        </w:rPr>
        <w:t>响应文件对磋商文件构成偏离的，应单独注明。</w:t>
      </w:r>
    </w:p>
    <w:p>
      <w:pPr>
        <w:widowControl/>
        <w:spacing w:line="480" w:lineRule="exact"/>
        <w:ind w:firstLine="360" w:firstLineChars="150"/>
        <w:jc w:val="left"/>
        <w:rPr>
          <w:rFonts w:asciiTheme="majorEastAsia" w:hAnsiTheme="majorEastAsia" w:eastAsiaTheme="majorEastAsia"/>
          <w:kern w:val="0"/>
          <w:sz w:val="24"/>
          <w:szCs w:val="24"/>
        </w:rPr>
      </w:pPr>
      <w:r>
        <w:rPr>
          <w:rFonts w:hint="eastAsia" w:cs="宋体" w:asciiTheme="majorEastAsia" w:hAnsiTheme="majorEastAsia" w:eastAsiaTheme="majorEastAsia"/>
          <w:sz w:val="24"/>
        </w:rPr>
        <w:t xml:space="preserve">7) </w:t>
      </w:r>
      <w:r>
        <w:rPr>
          <w:rFonts w:hint="eastAsia" w:asciiTheme="majorEastAsia" w:hAnsiTheme="majorEastAsia" w:eastAsiaTheme="majorEastAsia"/>
          <w:kern w:val="0"/>
          <w:sz w:val="24"/>
          <w:szCs w:val="24"/>
        </w:rPr>
        <w:t>磋商小组成员会根据磋商文件规定，详细审阅各供应商提交的响应文件，逐项列出响应文件的全部偏差。偏差分为重大偏差和细微偏差。</w:t>
      </w:r>
    </w:p>
    <w:p>
      <w:pPr>
        <w:widowControl/>
        <w:spacing w:line="480" w:lineRule="exact"/>
        <w:jc w:val="left"/>
        <w:rPr>
          <w:rFonts w:asciiTheme="majorEastAsia" w:hAnsiTheme="majorEastAsia" w:eastAsiaTheme="majorEastAsia"/>
          <w:b/>
          <w:kern w:val="0"/>
          <w:sz w:val="24"/>
          <w:szCs w:val="24"/>
        </w:rPr>
      </w:pPr>
      <w:r>
        <w:rPr>
          <w:rFonts w:hint="eastAsia" w:asciiTheme="majorEastAsia" w:hAnsiTheme="majorEastAsia" w:eastAsiaTheme="majorEastAsia"/>
          <w:kern w:val="0"/>
          <w:sz w:val="24"/>
          <w:szCs w:val="24"/>
        </w:rPr>
        <w:t xml:space="preserve">     </w:t>
      </w:r>
      <w:r>
        <w:rPr>
          <w:rFonts w:hint="eastAsia" w:asciiTheme="majorEastAsia" w:hAnsiTheme="majorEastAsia" w:eastAsiaTheme="majorEastAsia"/>
          <w:b/>
          <w:kern w:val="0"/>
          <w:sz w:val="24"/>
          <w:szCs w:val="24"/>
        </w:rPr>
        <w:t xml:space="preserve"> 重大偏差包括以下内容：</w:t>
      </w:r>
    </w:p>
    <w:p>
      <w:pPr>
        <w:widowControl/>
        <w:tabs>
          <w:tab w:val="left" w:pos="720"/>
        </w:tabs>
        <w:spacing w:line="480" w:lineRule="exact"/>
        <w:jc w:val="left"/>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 xml:space="preserve">      a) 响应文件未按磋商文件要求签署；</w:t>
      </w:r>
    </w:p>
    <w:p>
      <w:pPr>
        <w:widowControl/>
        <w:spacing w:line="480" w:lineRule="exact"/>
        <w:jc w:val="left"/>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 xml:space="preserve">      b) 有确凿的证据表明供应商以低于成本价报价；</w:t>
      </w:r>
    </w:p>
    <w:p>
      <w:pPr>
        <w:widowControl/>
        <w:spacing w:line="480" w:lineRule="exact"/>
        <w:jc w:val="left"/>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 xml:space="preserve">    评审过程中，磋商小组发现供应商的报价明显低于其他报价，使得该报价可能低于其成本的，应当要求该供应商做出书面说明并提供相关证明材料。供应商不能合理说明或不能提供相关证明材料，由竞争性磋商小组认定该供应商低于成本报价。其报价应作为无效报价处理。</w:t>
      </w:r>
    </w:p>
    <w:p>
      <w:pPr>
        <w:widowControl/>
        <w:spacing w:line="480" w:lineRule="exact"/>
        <w:jc w:val="left"/>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 xml:space="preserve">      c)</w:t>
      </w:r>
      <w:r>
        <w:rPr>
          <w:rFonts w:hint="eastAsia" w:asciiTheme="majorEastAsia" w:hAnsiTheme="majorEastAsia" w:eastAsiaTheme="majorEastAsia"/>
          <w:b/>
          <w:kern w:val="0"/>
          <w:sz w:val="24"/>
          <w:szCs w:val="24"/>
        </w:rPr>
        <w:t xml:space="preserve"> </w:t>
      </w:r>
      <w:r>
        <w:rPr>
          <w:rFonts w:hint="eastAsia" w:asciiTheme="majorEastAsia" w:hAnsiTheme="majorEastAsia" w:eastAsiaTheme="majorEastAsia"/>
          <w:b/>
          <w:kern w:val="0"/>
          <w:sz w:val="24"/>
          <w:szCs w:val="24"/>
          <w:u w:val="single"/>
        </w:rPr>
        <w:t>响应文件中的技术规格、技术标准不符合磋商文件要求</w:t>
      </w:r>
      <w:r>
        <w:rPr>
          <w:rFonts w:hint="eastAsia" w:asciiTheme="majorEastAsia" w:hAnsiTheme="majorEastAsia" w:eastAsiaTheme="majorEastAsia"/>
          <w:b/>
          <w:kern w:val="0"/>
          <w:sz w:val="24"/>
          <w:szCs w:val="24"/>
        </w:rPr>
        <w:t>；</w:t>
      </w:r>
    </w:p>
    <w:p>
      <w:pPr>
        <w:widowControl/>
        <w:spacing w:line="480" w:lineRule="exact"/>
        <w:jc w:val="left"/>
        <w:rPr>
          <w:rFonts w:asciiTheme="majorEastAsia" w:hAnsiTheme="majorEastAsia" w:eastAsiaTheme="majorEastAsia"/>
          <w:b/>
          <w:kern w:val="0"/>
          <w:sz w:val="24"/>
          <w:szCs w:val="24"/>
          <w:u w:val="single"/>
        </w:rPr>
      </w:pPr>
      <w:r>
        <w:rPr>
          <w:rFonts w:hint="eastAsia" w:asciiTheme="majorEastAsia" w:hAnsiTheme="majorEastAsia" w:eastAsiaTheme="majorEastAsia"/>
          <w:kern w:val="0"/>
          <w:sz w:val="24"/>
          <w:szCs w:val="24"/>
        </w:rPr>
        <w:t xml:space="preserve">      d) 响应文件附有采购人不能接受的条件；</w:t>
      </w:r>
    </w:p>
    <w:p>
      <w:pPr>
        <w:widowControl/>
        <w:spacing w:line="480" w:lineRule="exact"/>
        <w:jc w:val="left"/>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 xml:space="preserve">      e) 不符合磋商文件中规定的其他实质性要求。</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25.评审方法:</w:t>
      </w:r>
    </w:p>
    <w:p>
      <w:pPr>
        <w:topLinePunct/>
        <w:spacing w:line="460" w:lineRule="exact"/>
        <w:ind w:firstLine="357" w:firstLineChars="149"/>
        <w:rPr>
          <w:rFonts w:asciiTheme="majorEastAsia" w:hAnsiTheme="majorEastAsia" w:eastAsiaTheme="majorEastAsia"/>
          <w:sz w:val="24"/>
          <w:szCs w:val="24"/>
        </w:rPr>
      </w:pPr>
      <w:r>
        <w:rPr>
          <w:rFonts w:hint="eastAsia" w:cs="宋体" w:asciiTheme="majorEastAsia" w:hAnsiTheme="majorEastAsia" w:eastAsiaTheme="majorEastAsia"/>
          <w:sz w:val="24"/>
        </w:rPr>
        <w:t xml:space="preserve">1) </w:t>
      </w:r>
      <w:r>
        <w:rPr>
          <w:rFonts w:hint="eastAsia" w:asciiTheme="majorEastAsia" w:hAnsiTheme="majorEastAsia" w:eastAsiaTheme="majorEastAsia"/>
          <w:sz w:val="24"/>
          <w:szCs w:val="24"/>
        </w:rPr>
        <w:t>磋商小组将按照本须知第24条的规定，对提交最后报价的供应商的响应文件和最后报价进行评价和比较。</w:t>
      </w:r>
    </w:p>
    <w:p>
      <w:pPr>
        <w:spacing w:line="480" w:lineRule="exact"/>
        <w:ind w:firstLine="352" w:firstLineChars="147"/>
        <w:rPr>
          <w:rFonts w:asciiTheme="majorEastAsia" w:hAnsiTheme="majorEastAsia" w:eastAsiaTheme="majorEastAsia"/>
          <w:sz w:val="24"/>
          <w:szCs w:val="24"/>
        </w:rPr>
      </w:pPr>
      <w:r>
        <w:rPr>
          <w:rFonts w:hint="eastAsia" w:cs="宋体" w:asciiTheme="majorEastAsia" w:hAnsiTheme="majorEastAsia" w:eastAsiaTheme="majorEastAsia"/>
          <w:sz w:val="24"/>
        </w:rPr>
        <w:t>2)</w:t>
      </w:r>
      <w:r>
        <w:rPr>
          <w:rFonts w:hint="eastAsia" w:asciiTheme="majorEastAsia" w:hAnsiTheme="majorEastAsia" w:eastAsiaTheme="majorEastAsia"/>
          <w:sz w:val="24"/>
          <w:szCs w:val="24"/>
        </w:rPr>
        <w:t>磋商程序</w:t>
      </w:r>
    </w:p>
    <w:p>
      <w:pPr>
        <w:spacing w:line="500" w:lineRule="exact"/>
        <w:ind w:firstLine="480" w:firstLineChars="200"/>
        <w:rPr>
          <w:rFonts w:cs="宋体" w:asciiTheme="majorEastAsia" w:hAnsiTheme="majorEastAsia" w:eastAsiaTheme="majorEastAsia"/>
          <w:b/>
          <w:bCs/>
          <w:sz w:val="24"/>
          <w:szCs w:val="24"/>
        </w:rPr>
      </w:pPr>
      <w:r>
        <w:rPr>
          <w:rFonts w:asciiTheme="majorEastAsia" w:hAnsiTheme="majorEastAsia" w:eastAsiaTheme="majorEastAsia"/>
          <w:sz w:val="24"/>
          <w:szCs w:val="24"/>
        </w:rPr>
        <w:t>磋商小组所有成员集中与单一供应商分别进行磋商，并给予所有参加磋商的供应商平等的磋商机会。</w:t>
      </w:r>
      <w:r>
        <w:rPr>
          <w:rFonts w:hint="eastAsia" w:cs="宋体" w:asciiTheme="majorEastAsia" w:hAnsiTheme="majorEastAsia" w:eastAsiaTheme="majorEastAsia"/>
          <w:sz w:val="24"/>
          <w:szCs w:val="24"/>
        </w:rPr>
        <w:t>在磋商过程中，磋商小组可以根据磋商文件和磋商情况实质性变动采购需求中的技术、商务要求以及合同草案条款，对磋商文件作出的实质性变动是磋商文件的有效组成部分。</w:t>
      </w:r>
      <w:r>
        <w:rPr>
          <w:rFonts w:hint="eastAsia" w:asciiTheme="majorEastAsia" w:hAnsiTheme="majorEastAsia" w:eastAsiaTheme="majorEastAsia"/>
          <w:sz w:val="24"/>
          <w:szCs w:val="24"/>
        </w:rPr>
        <w:t>实质性变动的内容，须经采购人代表确认。</w:t>
      </w:r>
      <w:r>
        <w:rPr>
          <w:rFonts w:hint="eastAsia" w:cs="宋体" w:asciiTheme="majorEastAsia" w:hAnsiTheme="majorEastAsia" w:eastAsiaTheme="majorEastAsia"/>
          <w:sz w:val="24"/>
          <w:szCs w:val="24"/>
        </w:rPr>
        <w:t>磋商小组根据各响应人的报价</w:t>
      </w:r>
      <w:r>
        <w:rPr>
          <w:rFonts w:hint="eastAsia" w:cs="Malgun Gothic Semilight" w:asciiTheme="majorEastAsia" w:hAnsiTheme="majorEastAsia" w:eastAsiaTheme="majorEastAsia"/>
          <w:sz w:val="24"/>
          <w:szCs w:val="24"/>
        </w:rPr>
        <w:t>，</w:t>
      </w:r>
      <w:r>
        <w:rPr>
          <w:rFonts w:hint="eastAsia" w:cs="宋体" w:asciiTheme="majorEastAsia" w:hAnsiTheme="majorEastAsia" w:eastAsiaTheme="majorEastAsia"/>
          <w:sz w:val="24"/>
          <w:szCs w:val="24"/>
        </w:rPr>
        <w:t>响应内容及磋商的情况</w:t>
      </w:r>
      <w:r>
        <w:rPr>
          <w:rFonts w:hint="eastAsia" w:cs="Malgun Gothic Semilight" w:asciiTheme="majorEastAsia" w:hAnsiTheme="majorEastAsia" w:eastAsiaTheme="majorEastAsia"/>
          <w:sz w:val="24"/>
          <w:szCs w:val="24"/>
        </w:rPr>
        <w:t>，</w:t>
      </w:r>
      <w:r>
        <w:rPr>
          <w:rFonts w:hint="eastAsia" w:cs="宋体" w:asciiTheme="majorEastAsia" w:hAnsiTheme="majorEastAsia" w:eastAsiaTheme="majorEastAsia"/>
          <w:sz w:val="24"/>
          <w:szCs w:val="24"/>
        </w:rPr>
        <w:t>要求各响应人分别进行不超过三轮（含公开报价）报价</w:t>
      </w:r>
      <w:r>
        <w:rPr>
          <w:rFonts w:hint="eastAsia" w:cs="Malgun Gothic Semilight" w:asciiTheme="majorEastAsia" w:hAnsiTheme="majorEastAsia" w:eastAsiaTheme="majorEastAsia"/>
          <w:sz w:val="24"/>
          <w:szCs w:val="24"/>
        </w:rPr>
        <w:t>（</w:t>
      </w:r>
      <w:r>
        <w:rPr>
          <w:rFonts w:hint="eastAsia" w:cs="宋体" w:asciiTheme="majorEastAsia" w:hAnsiTheme="majorEastAsia" w:eastAsiaTheme="majorEastAsia"/>
          <w:sz w:val="24"/>
          <w:szCs w:val="24"/>
        </w:rPr>
        <w:t>报价轮数由磋商小组现场确定</w:t>
      </w:r>
      <w:r>
        <w:rPr>
          <w:rFonts w:hint="eastAsia" w:cs="Malgun Gothic Semilight" w:asciiTheme="majorEastAsia" w:hAnsiTheme="majorEastAsia" w:eastAsiaTheme="majorEastAsia"/>
          <w:sz w:val="24"/>
          <w:szCs w:val="24"/>
        </w:rPr>
        <w:t>），</w:t>
      </w:r>
      <w:r>
        <w:rPr>
          <w:rFonts w:hint="eastAsia" w:cs="宋体" w:asciiTheme="majorEastAsia" w:hAnsiTheme="majorEastAsia" w:eastAsiaTheme="majorEastAsia"/>
          <w:sz w:val="24"/>
          <w:szCs w:val="24"/>
        </w:rPr>
        <w:t>并给予每个正在参加磋商的</w:t>
      </w:r>
      <w:r>
        <w:rPr>
          <w:rFonts w:hint="eastAsia" w:cs="宋体" w:asciiTheme="majorEastAsia" w:hAnsiTheme="majorEastAsia" w:eastAsiaTheme="majorEastAsia"/>
          <w:sz w:val="24"/>
          <w:szCs w:val="24"/>
          <w:u w:val="single"/>
        </w:rPr>
        <w:t>各合格响应</w:t>
      </w:r>
      <w:r>
        <w:rPr>
          <w:rFonts w:hint="eastAsia" w:cs="宋体" w:asciiTheme="majorEastAsia" w:hAnsiTheme="majorEastAsia" w:eastAsiaTheme="majorEastAsia"/>
          <w:sz w:val="24"/>
          <w:szCs w:val="24"/>
        </w:rPr>
        <w:t>人相同的机会</w:t>
      </w:r>
      <w:r>
        <w:rPr>
          <w:rFonts w:hint="eastAsia" w:cs="Malgun Gothic Semilight" w:asciiTheme="majorEastAsia" w:hAnsiTheme="majorEastAsia" w:eastAsiaTheme="majorEastAsia"/>
          <w:sz w:val="24"/>
          <w:szCs w:val="24"/>
        </w:rPr>
        <w:t>。</w:t>
      </w:r>
      <w:r>
        <w:rPr>
          <w:rFonts w:hint="eastAsia" w:cs="宋体" w:asciiTheme="majorEastAsia" w:hAnsiTheme="majorEastAsia" w:eastAsiaTheme="majorEastAsia"/>
          <w:sz w:val="24"/>
          <w:szCs w:val="24"/>
        </w:rPr>
        <w:t>每一轮磋商结束后</w:t>
      </w:r>
      <w:r>
        <w:rPr>
          <w:rFonts w:hint="eastAsia" w:cs="Malgun Gothic Semilight" w:asciiTheme="majorEastAsia" w:hAnsiTheme="majorEastAsia" w:eastAsiaTheme="majorEastAsia"/>
          <w:sz w:val="24"/>
          <w:szCs w:val="24"/>
        </w:rPr>
        <w:t>，</w:t>
      </w:r>
      <w:r>
        <w:rPr>
          <w:rFonts w:hint="eastAsia" w:cs="宋体" w:asciiTheme="majorEastAsia" w:hAnsiTheme="majorEastAsia" w:eastAsiaTheme="majorEastAsia"/>
          <w:sz w:val="24"/>
          <w:szCs w:val="24"/>
        </w:rPr>
        <w:t>供应商应当按照磋商文件的变动情况和磋商小组的要求重新提交响应文件进行报价，并由其法定代表人或授权代表签字或者加盖公章</w:t>
      </w:r>
      <w:r>
        <w:rPr>
          <w:rFonts w:hint="eastAsia" w:cs="Malgun Gothic Semilight" w:asciiTheme="majorEastAsia" w:hAnsiTheme="majorEastAsia" w:eastAsiaTheme="majorEastAsia"/>
          <w:sz w:val="24"/>
          <w:szCs w:val="24"/>
        </w:rPr>
        <w:t>。</w:t>
      </w:r>
    </w:p>
    <w:p>
      <w:pPr>
        <w:pStyle w:val="43"/>
        <w:spacing w:line="500" w:lineRule="exact"/>
        <w:ind w:left="0" w:leftChars="0" w:firstLine="482"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在磋商过程中，经采购人确认，磋商小组可以根据磋商文件和磋商情况实质性变动采购需求中的技术、商务要求。</w:t>
      </w:r>
    </w:p>
    <w:p>
      <w:pPr>
        <w:pStyle w:val="43"/>
        <w:spacing w:line="500" w:lineRule="exact"/>
        <w:ind w:left="0" w:leftChars="0" w:firstLine="482"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在磋商过程中，磋商小组有权根据具体情况要求所有参加磋商的供应商进行多轮报价。如磋商中采购需求中的技术和商务要求无实质性变动，供应商的后轮报价不得超过上一轮的报价，若超过上一轮报价，则为无效报价并以上一轮报价进入评审。</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bl>
      <w:tblPr>
        <w:tblStyle w:val="56"/>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49" w:type="dxa"/>
            <w:gridSpan w:val="2"/>
            <w:noWrap w:val="0"/>
            <w:vAlign w:val="center"/>
          </w:tcPr>
          <w:p>
            <w:pPr>
              <w:spacing w:line="360" w:lineRule="auto"/>
              <w:jc w:val="center"/>
              <w:rPr>
                <w:rFonts w:ascii="宋体" w:hAnsi="Calibri" w:eastAsia="宋体" w:cs="Times New Roman"/>
                <w:b/>
                <w:sz w:val="24"/>
                <w:szCs w:val="24"/>
              </w:rPr>
            </w:pPr>
            <w:r>
              <w:rPr>
                <w:rFonts w:hint="eastAsia" w:ascii="宋体" w:hAnsi="宋体" w:cs="宋体"/>
                <w:color w:val="000000"/>
                <w:sz w:val="24"/>
              </w:rPr>
              <w:t>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41" w:type="dxa"/>
            <w:noWrap w:val="0"/>
            <w:vAlign w:val="center"/>
          </w:tcPr>
          <w:p>
            <w:pPr>
              <w:spacing w:line="380" w:lineRule="exact"/>
              <w:ind w:left="-106" w:leftChars="-64" w:hanging="28" w:firstLineChars="0"/>
              <w:jc w:val="center"/>
              <w:rPr>
                <w:rFonts w:hint="eastAsia" w:ascii="宋体" w:hAnsi="宋体" w:cs="宋体"/>
                <w:color w:val="000000"/>
                <w:sz w:val="24"/>
                <w:lang w:val="en-US" w:eastAsia="zh-CN"/>
              </w:rPr>
            </w:pPr>
            <w:r>
              <w:rPr>
                <w:rFonts w:hint="eastAsia" w:ascii="宋体" w:hAnsi="宋体" w:cs="宋体"/>
                <w:color w:val="000000"/>
                <w:sz w:val="24"/>
                <w:lang w:val="en-US" w:eastAsia="zh-CN"/>
              </w:rPr>
              <w:t>价格</w:t>
            </w:r>
          </w:p>
          <w:p>
            <w:pPr>
              <w:spacing w:line="380" w:lineRule="exact"/>
              <w:ind w:left="-106" w:leftChars="-64" w:hanging="28" w:firstLineChars="0"/>
              <w:jc w:val="center"/>
              <w:rPr>
                <w:rFonts w:hint="eastAsia" w:ascii="宋体" w:hAnsi="宋体" w:eastAsia="宋体" w:cs="Times New Roman"/>
                <w:b/>
                <w:sz w:val="24"/>
                <w:szCs w:val="24"/>
              </w:rPr>
            </w:pPr>
            <w:r>
              <w:rPr>
                <w:rFonts w:hint="eastAsia" w:ascii="宋体" w:hAnsi="宋体" w:cs="宋体"/>
                <w:color w:val="000000"/>
                <w:sz w:val="24"/>
                <w:lang w:val="en-US" w:eastAsia="zh-CN"/>
              </w:rPr>
              <w:t>（1</w:t>
            </w:r>
            <w:r>
              <w:rPr>
                <w:rFonts w:hint="eastAsia" w:ascii="宋体" w:hAnsi="宋体" w:cs="宋体"/>
                <w:color w:val="000000"/>
                <w:sz w:val="24"/>
              </w:rPr>
              <w:t>0分</w:t>
            </w:r>
            <w:r>
              <w:rPr>
                <w:rFonts w:hint="eastAsia" w:ascii="宋体" w:hAnsi="宋体" w:cs="宋体"/>
                <w:color w:val="000000"/>
                <w:sz w:val="24"/>
                <w:lang w:val="en-US" w:eastAsia="zh-CN"/>
              </w:rPr>
              <w:t>）</w:t>
            </w:r>
          </w:p>
        </w:tc>
        <w:tc>
          <w:tcPr>
            <w:tcW w:w="7808" w:type="dxa"/>
            <w:noWrap w:val="0"/>
            <w:vAlign w:val="center"/>
          </w:tcPr>
          <w:p>
            <w:pPr>
              <w:spacing w:line="380" w:lineRule="exact"/>
              <w:rPr>
                <w:rFonts w:hint="eastAsia" w:ascii="宋体" w:hAnsi="宋体" w:eastAsia="宋体" w:cs="Times New Roman"/>
                <w:b/>
                <w:sz w:val="24"/>
                <w:szCs w:val="24"/>
              </w:rPr>
            </w:pPr>
            <w:r>
              <w:rPr>
                <w:rFonts w:hint="eastAsia" w:ascii="宋体" w:hAnsi="宋体"/>
                <w:sz w:val="24"/>
                <w:szCs w:val="24"/>
              </w:rPr>
              <w:t>采用低价优先法计算，即满足磋商文件要求且最后报价最低的供应商的价格为磋商基准价，其价格分为满分，其他供应商的价格得分统一按下列公式计算：磋商报价得分=（磋商基准价/最后磋商报价）×</w:t>
            </w:r>
            <w:r>
              <w:rPr>
                <w:rFonts w:hint="eastAsia" w:ascii="宋体" w:hAnsi="宋体"/>
                <w:sz w:val="24"/>
                <w:szCs w:val="24"/>
                <w:lang w:val="en-US" w:eastAsia="zh-CN"/>
              </w:rPr>
              <w:t>1</w:t>
            </w:r>
            <w:r>
              <w:rPr>
                <w:rFonts w:hint="eastAsia" w:ascii="宋体" w:hAnsi="宋体"/>
                <w:sz w:val="24"/>
                <w:szCs w:val="24"/>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1741" w:type="dxa"/>
            <w:vMerge w:val="restart"/>
            <w:noWrap w:val="0"/>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技术方案先进性及响应性</w:t>
            </w:r>
          </w:p>
          <w:p>
            <w:pPr>
              <w:spacing w:line="360" w:lineRule="auto"/>
              <w:jc w:val="center"/>
              <w:rPr>
                <w:rFonts w:ascii="宋体" w:hAnsi="Calibri" w:eastAsia="宋体" w:cs="宋体"/>
                <w:b/>
                <w:sz w:val="24"/>
                <w:szCs w:val="24"/>
              </w:rPr>
            </w:pPr>
            <w:r>
              <w:rPr>
                <w:rFonts w:hint="eastAsia" w:ascii="宋体" w:hAnsi="宋体" w:eastAsia="宋体" w:cs="宋体"/>
                <w:b w:val="0"/>
                <w:bCs/>
                <w:sz w:val="24"/>
                <w:szCs w:val="24"/>
              </w:rPr>
              <w:t>（20分）</w:t>
            </w:r>
          </w:p>
        </w:tc>
        <w:tc>
          <w:tcPr>
            <w:tcW w:w="7808" w:type="dxa"/>
            <w:noWrap w:val="0"/>
            <w:vAlign w:val="center"/>
          </w:tcPr>
          <w:p>
            <w:pPr>
              <w:spacing w:line="360" w:lineRule="auto"/>
              <w:jc w:val="left"/>
              <w:rPr>
                <w:rFonts w:ascii="宋体" w:hAnsi="Calibri" w:eastAsia="宋体" w:cs="宋体"/>
                <w:b/>
                <w:sz w:val="24"/>
                <w:szCs w:val="24"/>
              </w:rPr>
            </w:pPr>
            <w:r>
              <w:rPr>
                <w:rFonts w:hint="eastAsia" w:ascii="宋体" w:hAnsi="宋体" w:eastAsia="宋体" w:cs="宋体"/>
                <w:sz w:val="24"/>
                <w:szCs w:val="24"/>
                <w:lang w:val="en-US" w:eastAsia="zh-CN"/>
              </w:rPr>
              <w:t>完全</w:t>
            </w:r>
            <w:r>
              <w:rPr>
                <w:rFonts w:hint="eastAsia" w:ascii="宋体" w:hAnsi="宋体" w:eastAsia="宋体" w:cs="宋体"/>
                <w:sz w:val="24"/>
                <w:szCs w:val="24"/>
              </w:rPr>
              <w:t>满足</w:t>
            </w:r>
            <w:r>
              <w:rPr>
                <w:rFonts w:hint="eastAsia" w:ascii="宋体" w:hAnsi="宋体" w:eastAsia="宋体" w:cs="宋体"/>
                <w:sz w:val="24"/>
                <w:szCs w:val="24"/>
                <w:lang w:val="en-US" w:eastAsia="zh-CN"/>
              </w:rPr>
              <w:t>或者高于</w:t>
            </w:r>
            <w:r>
              <w:rPr>
                <w:rFonts w:hint="eastAsia" w:ascii="宋体" w:hAnsi="宋体"/>
                <w:sz w:val="24"/>
                <w:szCs w:val="24"/>
              </w:rPr>
              <w:t>磋商文件</w:t>
            </w:r>
            <w:r>
              <w:rPr>
                <w:rFonts w:hint="eastAsia" w:ascii="宋体" w:hAnsi="宋体" w:eastAsia="宋体" w:cs="宋体"/>
                <w:sz w:val="24"/>
                <w:szCs w:val="24"/>
              </w:rPr>
              <w:t>要求</w:t>
            </w:r>
            <w:r>
              <w:rPr>
                <w:rFonts w:hint="eastAsia" w:ascii="宋体" w:hAnsi="宋体" w:eastAsia="宋体" w:cs="宋体"/>
                <w:b w:val="0"/>
                <w:bCs w:val="0"/>
                <w:sz w:val="24"/>
                <w:szCs w:val="24"/>
              </w:rPr>
              <w:t>，并按技术参数要求提供相关功能截图</w:t>
            </w:r>
            <w:r>
              <w:rPr>
                <w:rFonts w:hint="eastAsia" w:ascii="宋体" w:hAnsi="宋体" w:eastAsia="宋体" w:cs="宋体"/>
                <w:sz w:val="24"/>
                <w:szCs w:val="24"/>
              </w:rPr>
              <w:t>或视频</w:t>
            </w:r>
            <w:r>
              <w:rPr>
                <w:rFonts w:hint="eastAsia" w:ascii="宋体" w:hAnsi="宋体" w:eastAsia="宋体" w:cs="宋体"/>
                <w:b w:val="0"/>
                <w:bCs w:val="0"/>
                <w:sz w:val="24"/>
                <w:szCs w:val="24"/>
              </w:rPr>
              <w:t>的得10分。</w:t>
            </w:r>
          </w:p>
          <w:p>
            <w:pPr>
              <w:spacing w:line="360" w:lineRule="auto"/>
              <w:jc w:val="left"/>
              <w:rPr>
                <w:rFonts w:hint="default" w:ascii="宋体" w:hAnsi="Calibri" w:eastAsia="宋体" w:cs="宋体"/>
                <w:sz w:val="24"/>
                <w:szCs w:val="24"/>
                <w:lang w:val="en-US" w:eastAsia="zh-CN"/>
              </w:rPr>
            </w:pPr>
            <w:r>
              <w:rPr>
                <w:rFonts w:hint="eastAsia" w:ascii="宋体" w:hAnsi="宋体" w:eastAsia="宋体" w:cs="宋体"/>
                <w:sz w:val="24"/>
                <w:szCs w:val="24"/>
              </w:rPr>
              <w:t>技术指标不满足</w:t>
            </w:r>
            <w:r>
              <w:rPr>
                <w:rFonts w:hint="eastAsia" w:ascii="宋体" w:hAnsi="宋体"/>
                <w:sz w:val="24"/>
                <w:szCs w:val="24"/>
              </w:rPr>
              <w:t>磋商文件</w:t>
            </w:r>
            <w:r>
              <w:rPr>
                <w:rFonts w:hint="eastAsia" w:ascii="宋体" w:hAnsi="宋体" w:eastAsia="宋体" w:cs="宋体"/>
                <w:sz w:val="24"/>
                <w:szCs w:val="24"/>
              </w:rPr>
              <w:t>要求的（需按照要求提供响应清晰截图或视频）即为负偏离，技术指标负偏离每一项扣2分，扣</w:t>
            </w:r>
            <w:r>
              <w:rPr>
                <w:rFonts w:hint="eastAsia" w:ascii="宋体" w:hAnsi="宋体" w:cs="宋体"/>
                <w:sz w:val="24"/>
                <w:szCs w:val="24"/>
                <w:lang w:val="en-US" w:eastAsia="zh-CN"/>
              </w:rPr>
              <w:t>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741" w:type="dxa"/>
            <w:vMerge w:val="continue"/>
            <w:noWrap w:val="0"/>
            <w:vAlign w:val="center"/>
          </w:tcPr>
          <w:p>
            <w:pPr>
              <w:spacing w:line="360" w:lineRule="auto"/>
              <w:jc w:val="center"/>
              <w:rPr>
                <w:rFonts w:ascii="宋体" w:hAnsi="宋体" w:eastAsia="宋体" w:cs="宋体"/>
                <w:b/>
                <w:sz w:val="24"/>
                <w:szCs w:val="24"/>
              </w:rPr>
            </w:pPr>
          </w:p>
        </w:tc>
        <w:tc>
          <w:tcPr>
            <w:tcW w:w="7808" w:type="dxa"/>
            <w:noWrap w:val="0"/>
            <w:vAlign w:val="center"/>
          </w:tcPr>
          <w:p>
            <w:pPr>
              <w:spacing w:line="360" w:lineRule="auto"/>
              <w:jc w:val="left"/>
              <w:rPr>
                <w:rFonts w:ascii="宋体" w:hAnsi="宋体" w:eastAsia="宋体" w:cs="宋体"/>
                <w:sz w:val="24"/>
                <w:szCs w:val="24"/>
              </w:rPr>
            </w:pPr>
            <w:r>
              <w:rPr>
                <w:rFonts w:hint="eastAsia" w:ascii="新宋体" w:hAnsi="新宋体" w:eastAsia="新宋体" w:cs="新宋体"/>
                <w:color w:val="000000"/>
                <w:sz w:val="24"/>
                <w:szCs w:val="24"/>
              </w:rPr>
              <w:t>根据</w:t>
            </w:r>
            <w:r>
              <w:rPr>
                <w:rFonts w:hint="eastAsia" w:ascii="新宋体" w:hAnsi="新宋体" w:eastAsia="新宋体" w:cs="新宋体"/>
                <w:color w:val="000000"/>
                <w:sz w:val="24"/>
                <w:szCs w:val="24"/>
                <w:lang w:val="en-US" w:eastAsia="zh-CN"/>
              </w:rPr>
              <w:t>响应</w:t>
            </w:r>
            <w:r>
              <w:rPr>
                <w:rFonts w:hint="eastAsia" w:ascii="新宋体" w:hAnsi="新宋体" w:eastAsia="新宋体" w:cs="新宋体"/>
                <w:color w:val="000000"/>
                <w:sz w:val="24"/>
                <w:szCs w:val="24"/>
              </w:rPr>
              <w:t>人对本项目的</w:t>
            </w:r>
            <w:r>
              <w:rPr>
                <w:rFonts w:hint="eastAsia" w:ascii="新宋体" w:hAnsi="新宋体" w:eastAsia="新宋体" w:cs="新宋体"/>
                <w:color w:val="000000"/>
                <w:sz w:val="24"/>
                <w:szCs w:val="24"/>
                <w:lang w:val="en-US" w:eastAsia="zh-CN"/>
              </w:rPr>
              <w:t>整体方案，具有</w:t>
            </w:r>
            <w:r>
              <w:rPr>
                <w:rFonts w:hint="eastAsia" w:ascii="宋体" w:hAnsi="宋体"/>
                <w:color w:val="000000"/>
                <w:sz w:val="24"/>
              </w:rPr>
              <w:t>前瞻性</w:t>
            </w:r>
            <w:r>
              <w:rPr>
                <w:rFonts w:hint="eastAsia" w:ascii="宋体" w:hAnsi="宋体"/>
                <w:color w:val="000000"/>
                <w:sz w:val="24"/>
                <w:lang w:eastAsia="zh-CN"/>
              </w:rPr>
              <w:t>，</w:t>
            </w:r>
            <w:r>
              <w:rPr>
                <w:rFonts w:hint="eastAsia" w:ascii="宋体" w:hAnsi="宋体"/>
                <w:color w:val="000000"/>
                <w:sz w:val="24"/>
              </w:rPr>
              <w:t>针对性及操作性</w:t>
            </w:r>
            <w:r>
              <w:rPr>
                <w:rFonts w:hint="eastAsia" w:ascii="新宋体" w:hAnsi="新宋体" w:eastAsia="新宋体" w:cs="新宋体"/>
                <w:color w:val="000000"/>
                <w:sz w:val="24"/>
                <w:szCs w:val="24"/>
                <w:lang w:val="zh-CN"/>
              </w:rPr>
              <w:t>进行</w:t>
            </w:r>
            <w:r>
              <w:rPr>
                <w:rFonts w:hint="eastAsia" w:ascii="新宋体" w:hAnsi="新宋体" w:eastAsia="新宋体" w:cs="新宋体"/>
                <w:color w:val="000000"/>
                <w:sz w:val="24"/>
                <w:szCs w:val="24"/>
                <w:lang w:val="en-US" w:eastAsia="zh-CN"/>
              </w:rPr>
              <w:t>高</w:t>
            </w:r>
            <w:r>
              <w:rPr>
                <w:rFonts w:hint="eastAsia" w:ascii="新宋体" w:hAnsi="新宋体" w:eastAsia="新宋体" w:cs="新宋体"/>
                <w:color w:val="000000"/>
                <w:sz w:val="24"/>
                <w:szCs w:val="24"/>
              </w:rPr>
              <w:t>。认识全面，分析深刻，内容对采购需求具有较高程度的保证的得8-10分；对项目有一定的认识，投报内容基本符合采购需求的得4-7分；认识不足，理解不充分，理解不够深刻的得1-3分。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741" w:type="dxa"/>
            <w:noWrap w:val="0"/>
            <w:vAlign w:val="center"/>
          </w:tcPr>
          <w:p>
            <w:pPr>
              <w:spacing w:line="360" w:lineRule="auto"/>
              <w:jc w:val="center"/>
              <w:rPr>
                <w:rFonts w:ascii="宋体" w:hAnsi="Calibri" w:eastAsia="宋体" w:cs="宋体"/>
                <w:b w:val="0"/>
                <w:bCs/>
                <w:sz w:val="24"/>
                <w:szCs w:val="24"/>
              </w:rPr>
            </w:pPr>
            <w:r>
              <w:rPr>
                <w:rFonts w:hint="eastAsia" w:ascii="宋体" w:hAnsi="宋体" w:eastAsia="宋体" w:cs="宋体"/>
                <w:b w:val="0"/>
                <w:bCs/>
                <w:sz w:val="24"/>
                <w:szCs w:val="24"/>
              </w:rPr>
              <w:t>系统演示</w:t>
            </w:r>
          </w:p>
          <w:p>
            <w:pPr>
              <w:spacing w:line="360" w:lineRule="auto"/>
              <w:jc w:val="center"/>
              <w:rPr>
                <w:rFonts w:ascii="宋体" w:hAnsi="Calibri" w:eastAsia="宋体" w:cs="宋体"/>
                <w:b/>
                <w:sz w:val="24"/>
                <w:szCs w:val="24"/>
              </w:rPr>
            </w:pPr>
            <w:r>
              <w:rPr>
                <w:rFonts w:hint="eastAsia" w:ascii="宋体" w:hAnsi="宋体" w:eastAsia="宋体" w:cs="宋体"/>
                <w:b w:val="0"/>
                <w:bCs/>
                <w:sz w:val="24"/>
                <w:szCs w:val="24"/>
              </w:rPr>
              <w:t>（3</w:t>
            </w:r>
            <w:r>
              <w:rPr>
                <w:rFonts w:hint="eastAsia" w:ascii="宋体" w:hAnsi="宋体" w:cs="宋体"/>
                <w:b w:val="0"/>
                <w:bCs/>
                <w:sz w:val="24"/>
                <w:szCs w:val="24"/>
                <w:lang w:val="en-US" w:eastAsia="zh-CN"/>
              </w:rPr>
              <w:t>5</w:t>
            </w:r>
            <w:r>
              <w:rPr>
                <w:rFonts w:hint="eastAsia" w:ascii="宋体" w:hAnsi="宋体" w:eastAsia="宋体" w:cs="宋体"/>
                <w:b w:val="0"/>
                <w:bCs/>
                <w:sz w:val="24"/>
                <w:szCs w:val="24"/>
              </w:rPr>
              <w:t>分）</w:t>
            </w:r>
          </w:p>
        </w:tc>
        <w:tc>
          <w:tcPr>
            <w:tcW w:w="7808" w:type="dxa"/>
            <w:noWrap w:val="0"/>
            <w:vAlign w:val="center"/>
          </w:tcPr>
          <w:p>
            <w:pPr>
              <w:spacing w:line="360" w:lineRule="auto"/>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评审现场需对项目部分内容进行现场演示，人脸识别导航屏可以拍摄视频进行演示，其他演示需要响应人自行搭建系统演示环境。现场不能定位（定位光标需随着人位置变化而变化，地图需随着人的转向而转向，未变化视为不能定位）、采用PPT演示或其他演示方式、非医院案例演示的均不得分。以下功能每展示并完全满足一项得相应分值：</w:t>
            </w:r>
          </w:p>
          <w:p>
            <w:pPr>
              <w:numPr>
                <w:ilvl w:val="0"/>
                <w:numId w:val="7"/>
              </w:numPr>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能提供web工具直接对地图的配色进行修改，确保符合医院的主题色（5分）</w:t>
            </w:r>
          </w:p>
          <w:p>
            <w:pPr>
              <w:numPr>
                <w:ilvl w:val="0"/>
                <w:numId w:val="7"/>
              </w:numPr>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支持地图多楼层展现。可以同时观看多个楼层的科室分布情况。（5分）</w:t>
            </w:r>
          </w:p>
          <w:p>
            <w:pPr>
              <w:numPr>
                <w:ilvl w:val="0"/>
                <w:numId w:val="7"/>
              </w:numPr>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支持空车位预约及缴费功能，并可通过车牌查询车辆位置（5分）</w:t>
            </w:r>
          </w:p>
          <w:p>
            <w:pPr>
              <w:numPr>
                <w:ilvl w:val="0"/>
                <w:numId w:val="7"/>
              </w:numPr>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可通过WEB平台实时查看今日预约挂号人数、推送消息条数、推送消息点击率等。（3分）</w:t>
            </w:r>
          </w:p>
          <w:p>
            <w:pPr>
              <w:numPr>
                <w:ilvl w:val="0"/>
                <w:numId w:val="7"/>
              </w:numPr>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提供视频演示人脸识别导航大屏，可刷脸识别患者身份，并在大屏智能获取患者下一步就诊的导航路线，支持刷脸支付，支持刷身份证，刷卡实现身份信息录入。</w:t>
            </w:r>
            <w:r>
              <w:rPr>
                <w:rFonts w:hint="eastAsia" w:ascii="宋体" w:hAnsi="宋体" w:cs="宋体"/>
                <w:b w:val="0"/>
                <w:bCs w:val="0"/>
                <w:kern w:val="2"/>
                <w:sz w:val="24"/>
                <w:szCs w:val="24"/>
                <w:highlight w:val="none"/>
                <w:lang w:val="en-US" w:eastAsia="zh-CN" w:bidi="ar-SA"/>
              </w:rPr>
              <w:t>（2分）</w:t>
            </w:r>
          </w:p>
          <w:p>
            <w:pPr>
              <w:numPr>
                <w:ilvl w:val="0"/>
                <w:numId w:val="7"/>
              </w:numPr>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大屏支持刷脸进行身份识别，完成患者下一步就诊及导航指引。（3分）</w:t>
            </w:r>
          </w:p>
          <w:p>
            <w:pPr>
              <w:numPr>
                <w:ilvl w:val="0"/>
                <w:numId w:val="7"/>
              </w:numPr>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大屏支持NFC可以刷身份证或者就诊卡进行身份识别，完成患者下一步就诊及导航指引。（3分）</w:t>
            </w:r>
          </w:p>
          <w:p>
            <w:pPr>
              <w:numPr>
                <w:ilvl w:val="0"/>
                <w:numId w:val="7"/>
              </w:numPr>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大屏支持无卡患者人脸识别进行建卡/绑卡功能。（3分）</w:t>
            </w:r>
          </w:p>
          <w:p>
            <w:pPr>
              <w:numPr>
                <w:ilvl w:val="0"/>
                <w:numId w:val="7"/>
              </w:numPr>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大屏支持挂号，并挂号后显示挂号科室的地图导航指引（3分）</w:t>
            </w:r>
          </w:p>
          <w:p>
            <w:pPr>
              <w:numPr>
                <w:ilvl w:val="0"/>
                <w:numId w:val="7"/>
              </w:numPr>
              <w:spacing w:line="360" w:lineRule="auto"/>
              <w:ind w:firstLine="480" w:firstLineChars="200"/>
              <w:jc w:val="left"/>
              <w:rPr>
                <w:rFonts w:hint="eastAsia" w:eastAsia="宋体"/>
                <w:lang w:eastAsia="zh-CN"/>
              </w:rPr>
            </w:pPr>
            <w:r>
              <w:rPr>
                <w:rFonts w:hint="eastAsia" w:ascii="宋体" w:hAnsi="宋体" w:eastAsia="宋体" w:cs="宋体"/>
                <w:b w:val="0"/>
                <w:bCs w:val="0"/>
                <w:kern w:val="2"/>
                <w:sz w:val="24"/>
                <w:szCs w:val="24"/>
                <w:lang w:val="en-US" w:eastAsia="zh-CN" w:bidi="ar-SA"/>
              </w:rPr>
              <w:t>大屏支持刷脸缴费。（3分）</w:t>
            </w:r>
          </w:p>
          <w:p>
            <w:pPr>
              <w:numPr>
                <w:ilvl w:val="0"/>
                <w:numId w:val="0"/>
              </w:numPr>
              <w:spacing w:line="360" w:lineRule="auto"/>
              <w:jc w:val="left"/>
              <w:rPr>
                <w:rFonts w:hint="eastAsia" w:eastAsia="宋体"/>
                <w:lang w:eastAsia="zh-CN"/>
              </w:rPr>
            </w:pPr>
            <w:r>
              <w:rPr>
                <w:rFonts w:hint="eastAsia" w:ascii="宋体" w:hAnsi="宋体" w:cs="宋体"/>
                <w:b w:val="0"/>
                <w:bCs w:val="0"/>
                <w:kern w:val="2"/>
                <w:sz w:val="24"/>
                <w:szCs w:val="24"/>
                <w:lang w:val="en-US" w:eastAsia="zh-CN" w:bidi="ar-SA"/>
              </w:rPr>
              <w:t>（注：</w:t>
            </w:r>
            <w:r>
              <w:rPr>
                <w:rFonts w:hint="eastAsia" w:ascii="宋体" w:hAnsi="宋体" w:eastAsia="宋体" w:cs="宋体"/>
                <w:b w:val="0"/>
                <w:bCs w:val="0"/>
                <w:kern w:val="2"/>
                <w:sz w:val="24"/>
                <w:szCs w:val="24"/>
                <w:lang w:val="en-US" w:eastAsia="zh-CN" w:bidi="ar-SA"/>
              </w:rPr>
              <w:t>以上演示内容完全满足一项得相应分值，如不能满足要求的或未演示的不得分）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noWrap w:val="0"/>
            <w:vAlign w:val="center"/>
          </w:tcPr>
          <w:p>
            <w:pPr>
              <w:spacing w:line="360" w:lineRule="auto"/>
              <w:jc w:val="center"/>
              <w:rPr>
                <w:rFonts w:ascii="宋体" w:hAnsi="Calibri" w:eastAsia="宋体" w:cs="宋体"/>
                <w:b w:val="0"/>
                <w:bCs/>
                <w:sz w:val="24"/>
                <w:szCs w:val="24"/>
              </w:rPr>
            </w:pPr>
            <w:r>
              <w:rPr>
                <w:rFonts w:hint="eastAsia" w:ascii="宋体" w:hAnsi="宋体" w:eastAsia="宋体" w:cs="宋体"/>
                <w:b w:val="0"/>
                <w:bCs/>
                <w:sz w:val="24"/>
                <w:szCs w:val="24"/>
              </w:rPr>
              <w:t>实施方案</w:t>
            </w:r>
          </w:p>
          <w:p>
            <w:pPr>
              <w:spacing w:line="360" w:lineRule="auto"/>
              <w:jc w:val="center"/>
              <w:rPr>
                <w:rFonts w:ascii="宋体" w:hAnsi="Calibri" w:eastAsia="宋体" w:cs="宋体"/>
                <w:b/>
                <w:sz w:val="24"/>
                <w:szCs w:val="24"/>
              </w:rPr>
            </w:pPr>
            <w:r>
              <w:rPr>
                <w:rFonts w:hint="eastAsia" w:ascii="宋体" w:hAnsi="宋体" w:eastAsia="宋体" w:cs="宋体"/>
                <w:b w:val="0"/>
                <w:bCs/>
                <w:sz w:val="24"/>
                <w:szCs w:val="24"/>
              </w:rPr>
              <w:t>（3分）</w:t>
            </w:r>
          </w:p>
        </w:tc>
        <w:tc>
          <w:tcPr>
            <w:tcW w:w="7808" w:type="dxa"/>
            <w:noWrap w:val="0"/>
            <w:vAlign w:val="center"/>
          </w:tcPr>
          <w:p>
            <w:pPr>
              <w:spacing w:line="360" w:lineRule="auto"/>
              <w:jc w:val="left"/>
              <w:rPr>
                <w:rFonts w:ascii="宋体" w:hAnsi="Calibri" w:eastAsia="宋体" w:cs="宋体"/>
                <w:sz w:val="24"/>
                <w:szCs w:val="24"/>
              </w:rPr>
            </w:pPr>
            <w:r>
              <w:rPr>
                <w:rFonts w:hint="eastAsia" w:ascii="新宋体" w:hAnsi="新宋体" w:eastAsia="新宋体" w:cs="新宋体"/>
                <w:color w:val="000000"/>
                <w:sz w:val="24"/>
                <w:szCs w:val="24"/>
                <w:lang w:val="en-US" w:eastAsia="zh-CN"/>
              </w:rPr>
              <w:t>响应</w:t>
            </w:r>
            <w:r>
              <w:rPr>
                <w:rFonts w:hint="eastAsia" w:ascii="宋体" w:hAnsi="宋体" w:eastAsia="宋体" w:cs="宋体"/>
                <w:sz w:val="24"/>
                <w:szCs w:val="24"/>
              </w:rPr>
              <w:t>人针对本项目组织实施方案的科学性、合理性、规范性和可操作性，包括安装调试、系统集成、试运行、测试、系统培训、验收等内容，以及组织机构、工作时间进度表、工作程序和步骤、管理和协调方法等。</w:t>
            </w:r>
          </w:p>
          <w:p>
            <w:pPr>
              <w:numPr>
                <w:ilvl w:val="0"/>
                <w:numId w:val="8"/>
              </w:numPr>
              <w:spacing w:line="360" w:lineRule="auto"/>
              <w:ind w:left="425" w:leftChars="0" w:hanging="425" w:firstLineChars="0"/>
              <w:jc w:val="left"/>
              <w:rPr>
                <w:rFonts w:ascii="宋体" w:hAnsi="Calibri" w:eastAsia="宋体" w:cs="宋体"/>
                <w:sz w:val="24"/>
                <w:szCs w:val="24"/>
              </w:rPr>
            </w:pPr>
            <w:r>
              <w:rPr>
                <w:rFonts w:hint="eastAsia" w:ascii="宋体" w:hAnsi="宋体" w:eastAsia="宋体" w:cs="宋体"/>
                <w:sz w:val="24"/>
                <w:szCs w:val="24"/>
              </w:rPr>
              <w:t>方案贴合</w:t>
            </w:r>
            <w:r>
              <w:rPr>
                <w:rFonts w:hint="eastAsia" w:ascii="宋体" w:hAnsi="宋体" w:eastAsia="宋体" w:cs="宋体"/>
                <w:sz w:val="24"/>
                <w:szCs w:val="24"/>
                <w:lang w:val="en-US" w:eastAsia="zh-CN"/>
              </w:rPr>
              <w:t>采购人</w:t>
            </w:r>
            <w:r>
              <w:rPr>
                <w:rFonts w:hint="eastAsia" w:ascii="宋体" w:hAnsi="宋体" w:eastAsia="宋体" w:cs="宋体"/>
                <w:sz w:val="24"/>
                <w:szCs w:val="24"/>
              </w:rPr>
              <w:t>实际情况，具有可操作性和可参考性，能解决甲方实际问题，能提供详细可行的操作方法，得3分；</w:t>
            </w:r>
          </w:p>
          <w:p>
            <w:pPr>
              <w:numPr>
                <w:ilvl w:val="0"/>
                <w:numId w:val="8"/>
              </w:numPr>
              <w:spacing w:line="360" w:lineRule="auto"/>
              <w:ind w:left="425" w:leftChars="0" w:hanging="425" w:firstLineChars="0"/>
              <w:jc w:val="left"/>
              <w:rPr>
                <w:rFonts w:ascii="宋体" w:hAnsi="Calibri" w:eastAsia="宋体" w:cs="宋体"/>
                <w:sz w:val="24"/>
                <w:szCs w:val="24"/>
              </w:rPr>
            </w:pPr>
            <w:r>
              <w:rPr>
                <w:rFonts w:hint="eastAsia" w:ascii="宋体" w:hAnsi="宋体" w:eastAsia="宋体" w:cs="宋体"/>
                <w:sz w:val="24"/>
                <w:szCs w:val="24"/>
              </w:rPr>
              <w:t>方案贴合</w:t>
            </w:r>
            <w:r>
              <w:rPr>
                <w:rFonts w:hint="eastAsia" w:ascii="宋体" w:hAnsi="宋体" w:eastAsia="宋体" w:cs="宋体"/>
                <w:sz w:val="24"/>
                <w:szCs w:val="24"/>
                <w:lang w:val="en-US" w:eastAsia="zh-CN"/>
              </w:rPr>
              <w:t>采购人</w:t>
            </w:r>
            <w:r>
              <w:rPr>
                <w:rFonts w:hint="eastAsia" w:ascii="宋体" w:hAnsi="宋体" w:eastAsia="宋体" w:cs="宋体"/>
                <w:sz w:val="24"/>
                <w:szCs w:val="24"/>
              </w:rPr>
              <w:t>实际情况，能解决</w:t>
            </w:r>
            <w:r>
              <w:rPr>
                <w:rFonts w:hint="eastAsia" w:ascii="宋体" w:hAnsi="宋体" w:eastAsia="宋体" w:cs="宋体"/>
                <w:sz w:val="24"/>
                <w:szCs w:val="24"/>
                <w:lang w:val="en-US" w:eastAsia="zh-CN"/>
              </w:rPr>
              <w:t>采购人</w:t>
            </w:r>
            <w:r>
              <w:rPr>
                <w:rFonts w:hint="eastAsia" w:ascii="宋体" w:hAnsi="宋体" w:eastAsia="宋体" w:cs="宋体"/>
                <w:sz w:val="24"/>
                <w:szCs w:val="24"/>
              </w:rPr>
              <w:t>部分实际问题，缺乏详细可行的操作方法，得2分；</w:t>
            </w:r>
          </w:p>
          <w:p>
            <w:pPr>
              <w:numPr>
                <w:ilvl w:val="0"/>
                <w:numId w:val="8"/>
              </w:numPr>
              <w:spacing w:line="360" w:lineRule="auto"/>
              <w:ind w:left="425" w:leftChars="0" w:hanging="425" w:firstLineChars="0"/>
              <w:jc w:val="left"/>
              <w:rPr>
                <w:rFonts w:ascii="宋体" w:hAnsi="Calibri" w:eastAsia="宋体" w:cs="宋体"/>
                <w:sz w:val="24"/>
                <w:szCs w:val="24"/>
              </w:rPr>
            </w:pPr>
            <w:r>
              <w:rPr>
                <w:rFonts w:hint="eastAsia" w:ascii="宋体" w:hAnsi="宋体" w:eastAsia="宋体" w:cs="宋体"/>
                <w:sz w:val="24"/>
                <w:szCs w:val="24"/>
              </w:rPr>
              <w:t>服务方案有一定的可操作性和可参考性，缺乏详细可行的操作方法，得</w:t>
            </w:r>
            <w:r>
              <w:rPr>
                <w:rFonts w:ascii="宋体" w:hAnsi="宋体" w:eastAsia="宋体" w:cs="宋体"/>
                <w:sz w:val="24"/>
                <w:szCs w:val="24"/>
              </w:rPr>
              <w:t>1</w:t>
            </w:r>
            <w:r>
              <w:rPr>
                <w:rFonts w:hint="eastAsia" w:ascii="宋体" w:hAnsi="宋体" w:eastAsia="宋体" w:cs="宋体"/>
                <w:sz w:val="24"/>
                <w:szCs w:val="24"/>
              </w:rPr>
              <w:t>分；未提供任何项目实施方案的本项得</w:t>
            </w:r>
            <w:r>
              <w:rPr>
                <w:rFonts w:ascii="宋体" w:hAnsi="Calibri" w:eastAsia="宋体" w:cs="宋体"/>
                <w:sz w:val="24"/>
                <w:szCs w:val="24"/>
              </w:rPr>
              <w:t>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741" w:type="dxa"/>
            <w:noWrap w:val="0"/>
            <w:vAlign w:val="center"/>
          </w:tcPr>
          <w:p>
            <w:pPr>
              <w:spacing w:line="360" w:lineRule="auto"/>
              <w:jc w:val="center"/>
              <w:rPr>
                <w:rFonts w:ascii="宋体" w:hAnsi="Calibri" w:eastAsia="宋体" w:cs="宋体"/>
                <w:b w:val="0"/>
                <w:bCs/>
                <w:sz w:val="24"/>
                <w:szCs w:val="24"/>
              </w:rPr>
            </w:pPr>
            <w:r>
              <w:rPr>
                <w:rFonts w:hint="eastAsia" w:ascii="宋体" w:hAnsi="宋体" w:eastAsia="宋体" w:cs="宋体"/>
                <w:b w:val="0"/>
                <w:bCs/>
                <w:sz w:val="24"/>
                <w:szCs w:val="24"/>
              </w:rPr>
              <w:t>售后服务</w:t>
            </w:r>
          </w:p>
          <w:p>
            <w:pPr>
              <w:spacing w:line="360" w:lineRule="auto"/>
              <w:jc w:val="center"/>
              <w:rPr>
                <w:rFonts w:ascii="宋体" w:hAnsi="Calibri" w:eastAsia="宋体" w:cs="宋体"/>
                <w:b/>
                <w:sz w:val="24"/>
                <w:szCs w:val="24"/>
              </w:rPr>
            </w:pPr>
            <w:r>
              <w:rPr>
                <w:rFonts w:hint="eastAsia" w:ascii="宋体" w:hAnsi="宋体" w:eastAsia="宋体" w:cs="宋体"/>
                <w:b w:val="0"/>
                <w:bCs/>
                <w:sz w:val="24"/>
                <w:szCs w:val="24"/>
              </w:rPr>
              <w:t>（</w:t>
            </w:r>
            <w:r>
              <w:rPr>
                <w:rFonts w:hint="eastAsia" w:ascii="宋体" w:hAnsi="宋体" w:cs="宋体"/>
                <w:b w:val="0"/>
                <w:bCs/>
                <w:sz w:val="24"/>
                <w:szCs w:val="24"/>
                <w:lang w:val="en-US" w:eastAsia="zh-CN"/>
              </w:rPr>
              <w:t>4</w:t>
            </w:r>
            <w:r>
              <w:rPr>
                <w:rFonts w:hint="eastAsia" w:ascii="宋体" w:hAnsi="宋体" w:eastAsia="宋体" w:cs="宋体"/>
                <w:b w:val="0"/>
                <w:bCs/>
                <w:sz w:val="24"/>
                <w:szCs w:val="24"/>
              </w:rPr>
              <w:t>分）</w:t>
            </w:r>
          </w:p>
        </w:tc>
        <w:tc>
          <w:tcPr>
            <w:tcW w:w="7808" w:type="dxa"/>
            <w:noWrap w:val="0"/>
            <w:vAlign w:val="center"/>
          </w:tcPr>
          <w:p>
            <w:pPr>
              <w:spacing w:line="360" w:lineRule="auto"/>
              <w:ind w:right="-94" w:rightChars="-45"/>
              <w:jc w:val="left"/>
              <w:rPr>
                <w:rFonts w:ascii="宋体" w:hAnsi="Calibri" w:eastAsia="宋体" w:cs="宋体"/>
                <w:sz w:val="24"/>
                <w:szCs w:val="24"/>
              </w:rPr>
            </w:pPr>
            <w:r>
              <w:rPr>
                <w:rFonts w:hint="eastAsia" w:ascii="宋体" w:hAnsi="宋体" w:eastAsia="宋体" w:cs="宋体"/>
                <w:sz w:val="24"/>
                <w:szCs w:val="24"/>
              </w:rPr>
              <w:t>根据各</w:t>
            </w:r>
            <w:r>
              <w:rPr>
                <w:rFonts w:hint="eastAsia" w:ascii="新宋体" w:hAnsi="新宋体" w:eastAsia="新宋体" w:cs="新宋体"/>
                <w:color w:val="000000"/>
                <w:sz w:val="24"/>
                <w:szCs w:val="24"/>
                <w:lang w:val="en-US" w:eastAsia="zh-CN"/>
              </w:rPr>
              <w:t>响应</w:t>
            </w:r>
            <w:r>
              <w:rPr>
                <w:rFonts w:hint="eastAsia" w:ascii="新宋体" w:hAnsi="新宋体" w:eastAsia="新宋体" w:cs="新宋体"/>
                <w:color w:val="000000"/>
                <w:sz w:val="24"/>
                <w:szCs w:val="24"/>
              </w:rPr>
              <w:t>人</w:t>
            </w:r>
            <w:r>
              <w:rPr>
                <w:rFonts w:hint="eastAsia" w:ascii="宋体" w:hAnsi="宋体" w:eastAsia="宋体" w:cs="宋体"/>
                <w:sz w:val="24"/>
                <w:szCs w:val="24"/>
              </w:rPr>
              <w:t>的售后服务承诺、维护响应计划进行评分，</w:t>
            </w:r>
          </w:p>
          <w:p>
            <w:pPr>
              <w:spacing w:line="360" w:lineRule="auto"/>
              <w:ind w:right="-94" w:rightChars="-45"/>
              <w:jc w:val="left"/>
              <w:rPr>
                <w:rFonts w:ascii="宋体" w:hAnsi="Calibri" w:eastAsia="宋体" w:cs="宋体"/>
                <w:sz w:val="24"/>
                <w:szCs w:val="24"/>
              </w:rPr>
            </w:pPr>
            <w:r>
              <w:rPr>
                <w:rFonts w:hint="eastAsia" w:ascii="宋体" w:hAnsi="宋体" w:eastAsia="宋体" w:cs="宋体"/>
                <w:sz w:val="24"/>
                <w:szCs w:val="24"/>
              </w:rPr>
              <w:t>包括具体的售后服务内容、故障响应时间、响应方式时间。</w:t>
            </w:r>
          </w:p>
          <w:p>
            <w:pPr>
              <w:numPr>
                <w:ilvl w:val="0"/>
                <w:numId w:val="0"/>
              </w:numPr>
              <w:spacing w:line="360" w:lineRule="auto"/>
              <w:ind w:leftChars="0" w:right="-94" w:rightChars="-45"/>
              <w:jc w:val="left"/>
              <w:rPr>
                <w:rFonts w:ascii="宋体" w:hAnsi="Calibri"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服务内容完善详尽操作性强、故障响应时间最短、响应方式能快速解决采购人实际问题的得</w:t>
            </w:r>
            <w:r>
              <w:rPr>
                <w:rFonts w:hint="eastAsia" w:ascii="宋体" w:hAnsi="宋体" w:cs="宋体"/>
                <w:sz w:val="24"/>
                <w:szCs w:val="24"/>
                <w:lang w:val="en-US" w:eastAsia="zh-CN"/>
              </w:rPr>
              <w:t>4</w:t>
            </w:r>
            <w:r>
              <w:rPr>
                <w:rFonts w:hint="eastAsia" w:ascii="宋体" w:hAnsi="宋体" w:eastAsia="宋体" w:cs="宋体"/>
                <w:sz w:val="24"/>
                <w:szCs w:val="24"/>
              </w:rPr>
              <w:t>分；</w:t>
            </w:r>
          </w:p>
          <w:p>
            <w:pPr>
              <w:numPr>
                <w:ilvl w:val="0"/>
                <w:numId w:val="0"/>
              </w:numPr>
              <w:spacing w:line="360" w:lineRule="auto"/>
              <w:ind w:leftChars="0" w:right="-94" w:rightChars="-45"/>
              <w:jc w:val="left"/>
              <w:rPr>
                <w:rFonts w:ascii="宋体" w:hAnsi="Calibri"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服务内容相对完善操作性较强、故障响应时间较短、响应方式能基本解决采购人实际问题的得</w:t>
            </w:r>
            <w:r>
              <w:rPr>
                <w:rFonts w:hint="eastAsia" w:ascii="宋体" w:hAnsi="宋体" w:cs="宋体"/>
                <w:sz w:val="24"/>
                <w:szCs w:val="24"/>
                <w:lang w:val="en-US" w:eastAsia="zh-CN"/>
              </w:rPr>
              <w:t>3</w:t>
            </w:r>
            <w:r>
              <w:rPr>
                <w:rFonts w:hint="eastAsia" w:ascii="宋体" w:hAnsi="宋体" w:eastAsia="宋体" w:cs="宋体"/>
                <w:sz w:val="24"/>
                <w:szCs w:val="24"/>
              </w:rPr>
              <w:t>分；</w:t>
            </w:r>
          </w:p>
          <w:p>
            <w:pPr>
              <w:numPr>
                <w:ilvl w:val="0"/>
                <w:numId w:val="0"/>
              </w:numPr>
              <w:spacing w:line="360" w:lineRule="auto"/>
              <w:ind w:leftChars="0" w:right="-94" w:rightChars="-45"/>
              <w:jc w:val="left"/>
              <w:rPr>
                <w:rFonts w:ascii="宋体" w:hAnsi="Calibri"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服务内容不全面操作性一般、故障响应时间长，响应方式不能较好解决采购人实际问题的得</w:t>
            </w:r>
            <w:r>
              <w:rPr>
                <w:rFonts w:hint="eastAsia" w:ascii="宋体" w:hAnsi="宋体" w:cs="宋体"/>
                <w:sz w:val="24"/>
                <w:szCs w:val="24"/>
                <w:lang w:val="en-US" w:eastAsia="zh-CN"/>
              </w:rPr>
              <w:t>1</w:t>
            </w:r>
            <w:r>
              <w:rPr>
                <w:rFonts w:hint="eastAsia" w:ascii="宋体" w:hAnsi="宋体" w:eastAsia="宋体" w:cs="宋体"/>
                <w:sz w:val="24"/>
                <w:szCs w:val="24"/>
              </w:rPr>
              <w:t>分；未提供任何售后维护响应方案的本项得</w:t>
            </w:r>
            <w:r>
              <w:rPr>
                <w:rFonts w:ascii="宋体" w:hAnsi="Calibri" w:eastAsia="宋体" w:cs="宋体"/>
                <w:sz w:val="24"/>
                <w:szCs w:val="24"/>
              </w:rPr>
              <w:t>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Merge w:val="restart"/>
            <w:noWrap w:val="0"/>
            <w:vAlign w:val="center"/>
          </w:tcPr>
          <w:p>
            <w:pPr>
              <w:spacing w:line="360" w:lineRule="auto"/>
              <w:ind w:right="-94" w:rightChars="-45"/>
              <w:jc w:val="center"/>
              <w:rPr>
                <w:rFonts w:ascii="宋体" w:hAnsi="Calibri" w:eastAsia="宋体" w:cs="Times New Roman"/>
                <w:b w:val="0"/>
                <w:bCs/>
                <w:sz w:val="24"/>
                <w:szCs w:val="24"/>
              </w:rPr>
            </w:pPr>
            <w:r>
              <w:rPr>
                <w:rFonts w:hint="eastAsia" w:ascii="宋体" w:hAnsi="宋体" w:eastAsia="宋体" w:cs="Times New Roman"/>
                <w:b w:val="0"/>
                <w:bCs/>
                <w:sz w:val="24"/>
                <w:szCs w:val="24"/>
              </w:rPr>
              <w:t>企业认证</w:t>
            </w:r>
          </w:p>
          <w:p>
            <w:pPr>
              <w:spacing w:line="360" w:lineRule="auto"/>
              <w:ind w:right="-94" w:rightChars="-45"/>
              <w:jc w:val="center"/>
              <w:rPr>
                <w:rFonts w:ascii="宋体" w:hAnsi="Calibri" w:eastAsia="宋体" w:cs="Times New Roman"/>
                <w:b w:val="0"/>
                <w:bCs/>
                <w:sz w:val="24"/>
                <w:szCs w:val="24"/>
              </w:rPr>
            </w:pPr>
            <w:r>
              <w:rPr>
                <w:rFonts w:ascii="宋体" w:hAnsi="宋体" w:eastAsia="宋体" w:cs="Times New Roman"/>
                <w:b w:val="0"/>
                <w:bCs/>
                <w:sz w:val="24"/>
                <w:szCs w:val="24"/>
              </w:rPr>
              <w:t>(</w:t>
            </w:r>
            <w:r>
              <w:rPr>
                <w:rFonts w:hint="eastAsia" w:ascii="宋体" w:hAnsi="宋体" w:cs="Times New Roman"/>
                <w:b w:val="0"/>
                <w:bCs/>
                <w:sz w:val="24"/>
                <w:szCs w:val="24"/>
                <w:lang w:val="en-US" w:eastAsia="zh-CN"/>
              </w:rPr>
              <w:t>7</w:t>
            </w:r>
            <w:r>
              <w:rPr>
                <w:rFonts w:hint="eastAsia" w:ascii="宋体" w:hAnsi="宋体" w:eastAsia="宋体" w:cs="Times New Roman"/>
                <w:b w:val="0"/>
                <w:bCs/>
                <w:sz w:val="24"/>
                <w:szCs w:val="24"/>
              </w:rPr>
              <w:t>分</w:t>
            </w:r>
            <w:r>
              <w:rPr>
                <w:rFonts w:ascii="宋体" w:hAnsi="宋体" w:eastAsia="宋体" w:cs="Times New Roman"/>
                <w:b w:val="0"/>
                <w:bCs/>
                <w:sz w:val="24"/>
                <w:szCs w:val="24"/>
              </w:rPr>
              <w:t>)</w:t>
            </w:r>
          </w:p>
        </w:tc>
        <w:tc>
          <w:tcPr>
            <w:tcW w:w="7808" w:type="dxa"/>
            <w:noWrap w:val="0"/>
            <w:vAlign w:val="center"/>
          </w:tcPr>
          <w:p>
            <w:pPr>
              <w:widowControl/>
              <w:spacing w:line="360" w:lineRule="auto"/>
              <w:rPr>
                <w:rFonts w:ascii="宋体" w:hAnsi="Calibri" w:eastAsia="宋体" w:cs="宋体"/>
                <w:sz w:val="24"/>
                <w:szCs w:val="24"/>
              </w:rPr>
            </w:pPr>
            <w:r>
              <w:rPr>
                <w:rFonts w:hint="eastAsia" w:ascii="宋体" w:hAnsi="宋体" w:eastAsia="宋体" w:cs="宋体"/>
                <w:sz w:val="24"/>
                <w:szCs w:val="24"/>
                <w:lang w:val="en-US" w:eastAsia="zh-CN"/>
              </w:rPr>
              <w:t>响应</w:t>
            </w:r>
            <w:r>
              <w:rPr>
                <w:rFonts w:hint="eastAsia" w:ascii="宋体" w:hAnsi="宋体" w:eastAsia="宋体" w:cs="宋体"/>
                <w:sz w:val="24"/>
                <w:szCs w:val="24"/>
              </w:rPr>
              <w:t>人</w:t>
            </w:r>
            <w:r>
              <w:rPr>
                <w:rFonts w:hint="eastAsia" w:ascii="宋体" w:hAnsi="宋体" w:eastAsia="宋体" w:cs="宋体"/>
                <w:sz w:val="24"/>
                <w:szCs w:val="24"/>
                <w:highlight w:val="none"/>
              </w:rPr>
              <w:t>具备软件企业</w:t>
            </w:r>
            <w:r>
              <w:rPr>
                <w:rFonts w:hint="eastAsia" w:ascii="宋体" w:hAnsi="宋体" w:cs="宋体"/>
                <w:sz w:val="24"/>
                <w:szCs w:val="24"/>
                <w:highlight w:val="none"/>
                <w:lang w:val="en-US" w:eastAsia="zh-CN"/>
              </w:rPr>
              <w:t>认定</w:t>
            </w:r>
            <w:r>
              <w:rPr>
                <w:rFonts w:hint="eastAsia" w:ascii="宋体" w:hAnsi="宋体" w:eastAsia="宋体" w:cs="宋体"/>
                <w:sz w:val="24"/>
                <w:szCs w:val="24"/>
                <w:highlight w:val="none"/>
              </w:rPr>
              <w:t>证书，</w:t>
            </w:r>
            <w:r>
              <w:rPr>
                <w:rFonts w:hint="eastAsia" w:ascii="宋体" w:hAnsi="宋体" w:eastAsia="宋体" w:cs="宋体"/>
                <w:sz w:val="24"/>
                <w:szCs w:val="24"/>
              </w:rPr>
              <w:t>有则得</w:t>
            </w:r>
            <w:r>
              <w:rPr>
                <w:rFonts w:hint="eastAsia" w:ascii="宋体" w:hAnsi="宋体" w:cs="宋体"/>
                <w:sz w:val="24"/>
                <w:szCs w:val="24"/>
                <w:lang w:val="en-US" w:eastAsia="zh-CN"/>
              </w:rPr>
              <w:t>3</w:t>
            </w:r>
            <w:r>
              <w:rPr>
                <w:rFonts w:hint="eastAsia" w:ascii="宋体" w:hAnsi="宋体" w:eastAsia="宋体" w:cs="宋体"/>
                <w:sz w:val="24"/>
                <w:szCs w:val="24"/>
              </w:rPr>
              <w:t>分，无则不得分。需提供证书复印件，未提供不得分。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741" w:type="dxa"/>
            <w:vMerge w:val="continue"/>
            <w:noWrap w:val="0"/>
            <w:vAlign w:val="center"/>
          </w:tcPr>
          <w:p>
            <w:pPr>
              <w:spacing w:line="360" w:lineRule="auto"/>
              <w:ind w:right="-94" w:rightChars="-45"/>
              <w:jc w:val="center"/>
              <w:rPr>
                <w:rFonts w:ascii="宋体" w:hAnsi="Calibri" w:eastAsia="宋体" w:cs="Times New Roman"/>
                <w:b w:val="0"/>
                <w:bCs/>
                <w:sz w:val="24"/>
                <w:szCs w:val="24"/>
              </w:rPr>
            </w:pPr>
          </w:p>
        </w:tc>
        <w:tc>
          <w:tcPr>
            <w:tcW w:w="7808" w:type="dxa"/>
            <w:noWrap w:val="0"/>
            <w:vAlign w:val="center"/>
          </w:tcPr>
          <w:p>
            <w:pPr>
              <w:widowControl/>
              <w:spacing w:line="360" w:lineRule="auto"/>
              <w:rPr>
                <w:rFonts w:ascii="宋体" w:hAnsi="宋体" w:eastAsia="宋体" w:cs="宋体"/>
                <w:sz w:val="24"/>
                <w:szCs w:val="24"/>
                <w:highlight w:val="yellow"/>
              </w:rPr>
            </w:pPr>
            <w:r>
              <w:rPr>
                <w:rFonts w:hint="eastAsia" w:ascii="宋体" w:hAnsi="宋体" w:eastAsia="宋体" w:cs="宋体"/>
                <w:sz w:val="24"/>
                <w:szCs w:val="24"/>
              </w:rPr>
              <w:t>获得</w:t>
            </w:r>
            <w:r>
              <w:rPr>
                <w:rFonts w:ascii="宋体" w:hAnsi="宋体" w:eastAsia="宋体" w:cs="宋体"/>
                <w:sz w:val="24"/>
                <w:szCs w:val="24"/>
              </w:rPr>
              <w:t>ISO9001</w:t>
            </w:r>
            <w:r>
              <w:rPr>
                <w:rFonts w:hint="eastAsia" w:ascii="宋体" w:hAnsi="宋体" w:eastAsia="宋体" w:cs="宋体"/>
                <w:sz w:val="24"/>
                <w:szCs w:val="24"/>
              </w:rPr>
              <w:t>质量管理体系认证证书，有则得</w:t>
            </w:r>
            <w:r>
              <w:rPr>
                <w:rFonts w:hint="eastAsia" w:ascii="宋体" w:hAnsi="宋体" w:cs="宋体"/>
                <w:sz w:val="24"/>
                <w:szCs w:val="24"/>
                <w:lang w:val="en-US" w:eastAsia="zh-CN"/>
              </w:rPr>
              <w:t>4</w:t>
            </w:r>
            <w:r>
              <w:rPr>
                <w:rFonts w:hint="eastAsia" w:ascii="宋体" w:hAnsi="宋体" w:eastAsia="宋体" w:cs="宋体"/>
                <w:sz w:val="24"/>
                <w:szCs w:val="24"/>
              </w:rPr>
              <w:t>分，无则不得分</w:t>
            </w:r>
            <w:r>
              <w:rPr>
                <w:rFonts w:ascii="宋体" w:hAnsi="宋体" w:eastAsia="宋体" w:cs="宋体"/>
                <w:sz w:val="24"/>
                <w:szCs w:val="24"/>
              </w:rPr>
              <w:t xml:space="preserve">. </w:t>
            </w:r>
            <w:r>
              <w:rPr>
                <w:rFonts w:hint="eastAsia" w:ascii="宋体" w:hAnsi="宋体" w:eastAsia="宋体" w:cs="宋体"/>
                <w:sz w:val="24"/>
                <w:szCs w:val="24"/>
              </w:rPr>
              <w:t>需提供证书复印件，未提供不得分。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741" w:type="dxa"/>
            <w:vMerge w:val="restart"/>
            <w:noWrap w:val="0"/>
            <w:vAlign w:val="center"/>
          </w:tcPr>
          <w:p>
            <w:pPr>
              <w:spacing w:line="360" w:lineRule="auto"/>
              <w:ind w:right="-94" w:rightChars="-45"/>
              <w:jc w:val="center"/>
              <w:rPr>
                <w:rFonts w:hint="eastAsia" w:ascii="宋体" w:hAnsi="宋体" w:cs="Times New Roman"/>
                <w:b w:val="0"/>
                <w:bCs/>
                <w:sz w:val="24"/>
                <w:szCs w:val="24"/>
                <w:highlight w:val="none"/>
                <w:lang w:val="en-US" w:eastAsia="zh-CN"/>
              </w:rPr>
            </w:pPr>
            <w:r>
              <w:rPr>
                <w:rFonts w:hint="eastAsia" w:ascii="宋体" w:hAnsi="宋体" w:cs="Times New Roman"/>
                <w:b w:val="0"/>
                <w:bCs/>
                <w:sz w:val="24"/>
                <w:szCs w:val="24"/>
                <w:highlight w:val="none"/>
                <w:lang w:val="en-US" w:eastAsia="zh-CN"/>
              </w:rPr>
              <w:t>企业概况</w:t>
            </w:r>
          </w:p>
          <w:p>
            <w:pPr>
              <w:spacing w:line="360" w:lineRule="auto"/>
              <w:ind w:right="-94" w:rightChars="-45"/>
              <w:jc w:val="center"/>
              <w:rPr>
                <w:rFonts w:ascii="宋体" w:hAnsi="Calibri" w:eastAsia="宋体" w:cs="Times New Roman"/>
                <w:b w:val="0"/>
                <w:bCs/>
                <w:sz w:val="24"/>
                <w:szCs w:val="24"/>
              </w:rPr>
            </w:pPr>
            <w:r>
              <w:rPr>
                <w:rFonts w:ascii="宋体" w:hAnsi="宋体" w:eastAsia="宋体" w:cs="Times New Roman"/>
                <w:b w:val="0"/>
                <w:bCs/>
                <w:sz w:val="24"/>
                <w:szCs w:val="24"/>
              </w:rPr>
              <w:t>(</w:t>
            </w:r>
            <w:r>
              <w:rPr>
                <w:rFonts w:hint="eastAsia" w:ascii="宋体" w:hAnsi="宋体" w:cs="Times New Roman"/>
                <w:b w:val="0"/>
                <w:bCs/>
                <w:sz w:val="24"/>
                <w:szCs w:val="24"/>
                <w:lang w:val="en-US" w:eastAsia="zh-CN"/>
              </w:rPr>
              <w:t>11</w:t>
            </w:r>
            <w:r>
              <w:rPr>
                <w:rFonts w:hint="eastAsia" w:ascii="宋体" w:hAnsi="宋体" w:eastAsia="宋体" w:cs="Times New Roman"/>
                <w:b w:val="0"/>
                <w:bCs/>
                <w:sz w:val="24"/>
                <w:szCs w:val="24"/>
              </w:rPr>
              <w:t>分</w:t>
            </w:r>
            <w:r>
              <w:rPr>
                <w:rFonts w:ascii="宋体" w:hAnsi="宋体" w:eastAsia="宋体" w:cs="Times New Roman"/>
                <w:b w:val="0"/>
                <w:bCs/>
                <w:sz w:val="24"/>
                <w:szCs w:val="24"/>
              </w:rPr>
              <w:t>)</w:t>
            </w:r>
          </w:p>
          <w:p>
            <w:pPr>
              <w:spacing w:line="360" w:lineRule="auto"/>
              <w:ind w:right="-94" w:rightChars="-45"/>
              <w:jc w:val="center"/>
              <w:rPr>
                <w:rFonts w:hint="eastAsia" w:ascii="宋体" w:hAnsi="Calibri" w:eastAsia="宋体" w:cs="Times New Roman"/>
                <w:b w:val="0"/>
                <w:bCs/>
                <w:sz w:val="24"/>
                <w:szCs w:val="24"/>
              </w:rPr>
            </w:pPr>
          </w:p>
        </w:tc>
        <w:tc>
          <w:tcPr>
            <w:tcW w:w="7808" w:type="dxa"/>
            <w:noWrap w:val="0"/>
            <w:vAlign w:val="top"/>
          </w:tcPr>
          <w:p>
            <w:pPr>
              <w:spacing w:line="360" w:lineRule="auto"/>
              <w:rPr>
                <w:rFonts w:hint="eastAsia" w:ascii="宋体" w:hAnsi="Calibri" w:eastAsia="宋体" w:cs="宋体"/>
                <w:sz w:val="24"/>
                <w:szCs w:val="24"/>
                <w:lang w:eastAsia="zh-CN"/>
              </w:rPr>
            </w:pPr>
            <w:r>
              <w:rPr>
                <w:rFonts w:hint="eastAsia" w:ascii="宋体" w:hAnsi="宋体" w:eastAsia="宋体" w:cs="宋体"/>
                <w:sz w:val="24"/>
                <w:szCs w:val="24"/>
              </w:rPr>
              <w:t>支持激光扫描仪采集地图，能达到2CM以内得地图精度，出具激光扫描仪购买发票，以及扫描仪图样，</w:t>
            </w:r>
            <w:r>
              <w:rPr>
                <w:rFonts w:hint="eastAsia" w:ascii="宋体" w:hAnsi="宋体" w:cs="宋体"/>
                <w:sz w:val="24"/>
                <w:szCs w:val="24"/>
                <w:lang w:val="en-US" w:eastAsia="zh-CN"/>
              </w:rPr>
              <w:t>并携带扫描仪至现场演示，</w:t>
            </w:r>
            <w:r>
              <w:rPr>
                <w:rFonts w:hint="eastAsia" w:ascii="宋体" w:hAnsi="宋体" w:eastAsia="宋体" w:cs="宋体"/>
                <w:sz w:val="24"/>
                <w:szCs w:val="24"/>
              </w:rPr>
              <w:t>提供则得</w:t>
            </w:r>
            <w:r>
              <w:rPr>
                <w:rFonts w:hint="eastAsia" w:ascii="宋体" w:hAnsi="宋体" w:cs="宋体"/>
                <w:sz w:val="24"/>
                <w:szCs w:val="24"/>
                <w:lang w:val="en-US" w:eastAsia="zh-CN"/>
              </w:rPr>
              <w:t>5</w:t>
            </w:r>
            <w:r>
              <w:rPr>
                <w:rFonts w:hint="eastAsia" w:ascii="宋体" w:hAnsi="宋体" w:eastAsia="宋体" w:cs="宋体"/>
                <w:sz w:val="24"/>
                <w:szCs w:val="24"/>
              </w:rPr>
              <w:t>分，未提供则不得分</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741" w:type="dxa"/>
            <w:vMerge w:val="continue"/>
            <w:noWrap w:val="0"/>
            <w:vAlign w:val="center"/>
          </w:tcPr>
          <w:p>
            <w:pPr>
              <w:spacing w:line="360" w:lineRule="auto"/>
              <w:ind w:right="-94" w:rightChars="-45"/>
              <w:jc w:val="center"/>
              <w:rPr>
                <w:rFonts w:ascii="宋体" w:hAnsi="Calibri" w:eastAsia="宋体" w:cs="Times New Roman"/>
                <w:b w:val="0"/>
                <w:bCs/>
                <w:sz w:val="24"/>
                <w:szCs w:val="24"/>
              </w:rPr>
            </w:pPr>
          </w:p>
        </w:tc>
        <w:tc>
          <w:tcPr>
            <w:tcW w:w="7808" w:type="dxa"/>
            <w:noWrap w:val="0"/>
            <w:vAlign w:val="top"/>
          </w:tcPr>
          <w:p>
            <w:pPr>
              <w:spacing w:line="360" w:lineRule="auto"/>
              <w:rPr>
                <w:rFonts w:ascii="宋体" w:hAnsi="Calibri" w:eastAsia="宋体" w:cs="宋体"/>
                <w:sz w:val="24"/>
                <w:szCs w:val="24"/>
              </w:rPr>
            </w:pPr>
            <w:r>
              <w:rPr>
                <w:rFonts w:hint="eastAsia" w:ascii="宋体" w:hAnsi="宋体" w:eastAsia="宋体" w:cs="宋体"/>
                <w:sz w:val="24"/>
                <w:szCs w:val="24"/>
                <w:lang w:val="en-US" w:eastAsia="zh-CN"/>
              </w:rPr>
              <w:t>响应</w:t>
            </w:r>
            <w:r>
              <w:rPr>
                <w:rFonts w:hint="eastAsia" w:ascii="宋体" w:hAnsi="宋体" w:eastAsia="宋体" w:cs="宋体"/>
                <w:sz w:val="24"/>
                <w:szCs w:val="24"/>
              </w:rPr>
              <w:t>人具</w:t>
            </w:r>
            <w:r>
              <w:rPr>
                <w:rFonts w:hint="eastAsia" w:ascii="宋体" w:hAnsi="宋体" w:eastAsia="宋体" w:cs="宋体"/>
                <w:sz w:val="24"/>
                <w:szCs w:val="24"/>
                <w:highlight w:val="none"/>
              </w:rPr>
              <w:t>备信息安全管理体系认证证书，</w:t>
            </w:r>
            <w:r>
              <w:rPr>
                <w:rFonts w:hint="eastAsia" w:ascii="宋体" w:hAnsi="宋体" w:eastAsia="宋体" w:cs="宋体"/>
                <w:sz w:val="24"/>
                <w:szCs w:val="24"/>
              </w:rPr>
              <w:t>有则得</w:t>
            </w:r>
            <w:r>
              <w:rPr>
                <w:rFonts w:hint="eastAsia" w:ascii="宋体" w:hAnsi="宋体" w:cs="宋体"/>
                <w:sz w:val="24"/>
                <w:szCs w:val="24"/>
                <w:lang w:val="en-US" w:eastAsia="zh-CN"/>
              </w:rPr>
              <w:t>3</w:t>
            </w:r>
            <w:r>
              <w:rPr>
                <w:rFonts w:hint="eastAsia" w:ascii="宋体" w:hAnsi="宋体" w:eastAsia="宋体" w:cs="宋体"/>
                <w:sz w:val="24"/>
                <w:szCs w:val="24"/>
              </w:rPr>
              <w:t>分，无则不得分。需提供证书复印件，未提供不得分。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741" w:type="dxa"/>
            <w:vMerge w:val="continue"/>
            <w:noWrap w:val="0"/>
            <w:vAlign w:val="center"/>
          </w:tcPr>
          <w:p>
            <w:pPr>
              <w:spacing w:line="360" w:lineRule="auto"/>
              <w:ind w:right="-94" w:rightChars="-45"/>
              <w:jc w:val="center"/>
              <w:rPr>
                <w:rFonts w:ascii="宋体" w:hAnsi="Calibri" w:eastAsia="宋体" w:cs="Times New Roman"/>
                <w:b w:val="0"/>
                <w:bCs/>
                <w:sz w:val="24"/>
                <w:szCs w:val="24"/>
              </w:rPr>
            </w:pPr>
          </w:p>
        </w:tc>
        <w:tc>
          <w:tcPr>
            <w:tcW w:w="7808" w:type="dxa"/>
            <w:noWrap w:val="0"/>
            <w:vAlign w:val="top"/>
          </w:tcPr>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响应</w:t>
            </w:r>
            <w:r>
              <w:rPr>
                <w:rFonts w:hint="eastAsia" w:ascii="宋体" w:hAnsi="宋体" w:eastAsia="宋体" w:cs="宋体"/>
                <w:sz w:val="24"/>
                <w:szCs w:val="24"/>
              </w:rPr>
              <w:t>人具备</w:t>
            </w:r>
            <w:r>
              <w:rPr>
                <w:rFonts w:hint="eastAsia" w:ascii="宋体" w:hAnsi="宋体" w:eastAsia="宋体" w:cs="宋体"/>
                <w:sz w:val="24"/>
                <w:szCs w:val="24"/>
                <w:highlight w:val="none"/>
              </w:rPr>
              <w:t>互联网地图信息审核员。提</w:t>
            </w:r>
            <w:r>
              <w:rPr>
                <w:rFonts w:hint="eastAsia" w:ascii="宋体" w:hAnsi="宋体" w:eastAsia="宋体" w:cs="宋体"/>
                <w:sz w:val="24"/>
                <w:szCs w:val="24"/>
              </w:rPr>
              <w:t>供相关证明，并提供审核员在单位的社保缴纳证明有则得</w:t>
            </w:r>
            <w:r>
              <w:rPr>
                <w:rFonts w:hint="eastAsia" w:ascii="宋体" w:hAnsi="宋体" w:cs="宋体"/>
                <w:sz w:val="24"/>
                <w:szCs w:val="24"/>
                <w:lang w:val="en-US" w:eastAsia="zh-CN"/>
              </w:rPr>
              <w:t>3</w:t>
            </w:r>
            <w:r>
              <w:rPr>
                <w:rFonts w:hint="eastAsia" w:ascii="宋体" w:hAnsi="宋体" w:eastAsia="宋体" w:cs="宋体"/>
                <w:sz w:val="24"/>
                <w:szCs w:val="24"/>
              </w:rPr>
              <w:t>分，无则不得分。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741" w:type="dxa"/>
            <w:noWrap w:val="0"/>
            <w:vAlign w:val="center"/>
          </w:tcPr>
          <w:p>
            <w:pPr>
              <w:widowControl/>
              <w:spacing w:line="360" w:lineRule="auto"/>
              <w:ind w:right="-94" w:rightChars="-45"/>
              <w:jc w:val="center"/>
              <w:rPr>
                <w:rFonts w:ascii="宋体" w:hAnsi="宋体" w:eastAsia="宋体" w:cs="Times New Roman"/>
                <w:b w:val="0"/>
                <w:bCs/>
                <w:sz w:val="24"/>
                <w:szCs w:val="24"/>
              </w:rPr>
            </w:pPr>
            <w:r>
              <w:rPr>
                <w:rFonts w:hint="eastAsia" w:ascii="宋体" w:hAnsi="宋体" w:eastAsia="宋体" w:cs="Times New Roman"/>
                <w:b w:val="0"/>
                <w:bCs/>
                <w:sz w:val="24"/>
                <w:szCs w:val="24"/>
              </w:rPr>
              <w:t>业绩</w:t>
            </w:r>
          </w:p>
          <w:p>
            <w:pPr>
              <w:widowControl/>
              <w:spacing w:line="360" w:lineRule="auto"/>
              <w:ind w:right="-94" w:rightChars="-45"/>
              <w:jc w:val="center"/>
              <w:rPr>
                <w:rFonts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cs="Times New Roman"/>
                <w:b w:val="0"/>
                <w:bCs/>
                <w:sz w:val="24"/>
                <w:szCs w:val="24"/>
                <w:lang w:val="en-US" w:eastAsia="zh-CN"/>
              </w:rPr>
              <w:t>10</w:t>
            </w:r>
            <w:r>
              <w:rPr>
                <w:rFonts w:hint="eastAsia" w:ascii="宋体" w:hAnsi="宋体" w:eastAsia="宋体" w:cs="Times New Roman"/>
                <w:b w:val="0"/>
                <w:bCs/>
                <w:sz w:val="24"/>
                <w:szCs w:val="24"/>
              </w:rPr>
              <w:t>分）</w:t>
            </w:r>
          </w:p>
        </w:tc>
        <w:tc>
          <w:tcPr>
            <w:tcW w:w="7808" w:type="dxa"/>
            <w:noWrap w:val="0"/>
            <w:vAlign w:val="center"/>
          </w:tcPr>
          <w:p>
            <w:pPr>
              <w:widowControl/>
              <w:spacing w:line="360" w:lineRule="auto"/>
              <w:ind w:right="-94" w:rightChars="-45"/>
              <w:rPr>
                <w:rFonts w:hint="eastAsia" w:ascii="宋体" w:hAnsi="宋体" w:eastAsia="宋体" w:cs="Times New Roman"/>
                <w:sz w:val="24"/>
                <w:szCs w:val="24"/>
                <w:lang w:eastAsia="zh-CN"/>
              </w:rPr>
            </w:pPr>
            <w:r>
              <w:rPr>
                <w:rFonts w:hint="eastAsia" w:ascii="宋体" w:hAnsi="宋体" w:eastAsia="宋体" w:cs="Times New Roman"/>
                <w:sz w:val="24"/>
                <w:szCs w:val="24"/>
              </w:rPr>
              <w:t>提供</w:t>
            </w:r>
            <w:r>
              <w:rPr>
                <w:rFonts w:hint="eastAsia" w:ascii="宋体" w:hAnsi="宋体" w:eastAsia="宋体" w:cs="Times New Roman"/>
                <w:sz w:val="24"/>
                <w:szCs w:val="24"/>
                <w:lang w:val="en-US" w:eastAsia="zh-CN"/>
              </w:rPr>
              <w:t>近一年</w:t>
            </w:r>
            <w:r>
              <w:rPr>
                <w:rFonts w:hint="eastAsia" w:ascii="宋体" w:hAnsi="宋体" w:cs="Times New Roman"/>
                <w:sz w:val="24"/>
                <w:szCs w:val="24"/>
                <w:lang w:val="en-US" w:eastAsia="zh-CN"/>
              </w:rPr>
              <w:t>（自2019年1月1日至今）同类型项目</w:t>
            </w:r>
            <w:r>
              <w:rPr>
                <w:rFonts w:hint="eastAsia" w:ascii="宋体" w:hAnsi="宋体" w:eastAsia="宋体" w:cs="Times New Roman"/>
                <w:sz w:val="24"/>
                <w:szCs w:val="24"/>
              </w:rPr>
              <w:t>合同，提供一</w:t>
            </w:r>
            <w:r>
              <w:rPr>
                <w:rFonts w:hint="eastAsia" w:ascii="宋体" w:hAnsi="宋体" w:cs="Times New Roman"/>
                <w:sz w:val="24"/>
                <w:szCs w:val="24"/>
                <w:lang w:val="en-US" w:eastAsia="zh-CN"/>
              </w:rPr>
              <w:t>个</w:t>
            </w:r>
            <w:r>
              <w:rPr>
                <w:rFonts w:hint="eastAsia" w:ascii="宋体" w:hAnsi="宋体" w:eastAsia="宋体" w:cs="Times New Roman"/>
                <w:sz w:val="24"/>
                <w:szCs w:val="24"/>
              </w:rPr>
              <w:t>得1分最高得</w:t>
            </w:r>
            <w:r>
              <w:rPr>
                <w:rFonts w:hint="eastAsia" w:ascii="宋体" w:hAnsi="宋体" w:cs="Times New Roman"/>
                <w:sz w:val="24"/>
                <w:szCs w:val="24"/>
                <w:lang w:val="en-US" w:eastAsia="zh-CN"/>
              </w:rPr>
              <w:t>10</w:t>
            </w:r>
            <w:r>
              <w:rPr>
                <w:rFonts w:hint="eastAsia" w:ascii="宋体" w:hAnsi="宋体" w:eastAsia="宋体" w:cs="Times New Roman"/>
                <w:sz w:val="24"/>
                <w:szCs w:val="24"/>
              </w:rPr>
              <w:t>分。</w:t>
            </w:r>
            <w:r>
              <w:rPr>
                <w:rFonts w:hint="eastAsia" w:ascii="宋体" w:hAnsi="宋体" w:cs="Times New Roman"/>
                <w:sz w:val="24"/>
                <w:szCs w:val="24"/>
                <w:lang w:eastAsia="zh-CN"/>
              </w:rPr>
              <w:t>（</w:t>
            </w:r>
            <w:r>
              <w:rPr>
                <w:rFonts w:hint="eastAsia" w:ascii="宋体" w:hAnsi="宋体" w:cs="Times New Roman"/>
                <w:sz w:val="24"/>
                <w:szCs w:val="24"/>
                <w:lang w:val="en-US" w:eastAsia="zh-CN"/>
              </w:rPr>
              <w:t>以合同原件为准，不提供不得分</w:t>
            </w:r>
            <w:r>
              <w:rPr>
                <w:rFonts w:hint="eastAsia" w:ascii="宋体" w:hAnsi="宋体" w:cs="Times New Roman"/>
                <w:sz w:val="24"/>
                <w:szCs w:val="24"/>
                <w:lang w:eastAsia="zh-CN"/>
              </w:rPr>
              <w:t>）</w:t>
            </w:r>
          </w:p>
        </w:tc>
      </w:tr>
    </w:tbl>
    <w:p>
      <w:pPr>
        <w:numPr>
          <w:ilvl w:val="0"/>
          <w:numId w:val="9"/>
        </w:num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政策原则</w:t>
      </w:r>
    </w:p>
    <w:p>
      <w:pPr>
        <w:pStyle w:val="50"/>
        <w:spacing w:before="0" w:beforeAutospacing="0" w:after="0" w:afterAutospacing="0" w:line="360" w:lineRule="auto"/>
        <w:ind w:firstLine="240" w:firstLineChars="100"/>
        <w:rPr>
          <w:rFonts w:cs="宋体" w:asciiTheme="majorEastAsia" w:hAnsiTheme="majorEastAsia" w:eastAsiaTheme="majorEastAsia"/>
        </w:rPr>
      </w:pPr>
      <w:r>
        <w:rPr>
          <w:rFonts w:hint="eastAsia" w:cs="宋体" w:asciiTheme="majorEastAsia" w:hAnsiTheme="majorEastAsia" w:eastAsiaTheme="majorEastAsia"/>
          <w:kern w:val="1"/>
          <w:szCs w:val="24"/>
        </w:rPr>
        <w:t>1、对于节能环保产品，依据《山东省节能环保产品政府采购评审办法》的规定，</w:t>
      </w:r>
      <w:r>
        <w:rPr>
          <w:rFonts w:hint="eastAsia" w:cs="宋体" w:asciiTheme="majorEastAsia" w:hAnsiTheme="majorEastAsia" w:eastAsiaTheme="majorEastAsia"/>
        </w:rPr>
        <w:t>在评审中可以从价格和技术两方面对节能环保产品分别给予6%的加分。</w:t>
      </w:r>
    </w:p>
    <w:p>
      <w:pPr>
        <w:spacing w:line="360" w:lineRule="auto"/>
        <w:ind w:firstLine="480" w:firstLineChars="20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所投产品的品牌、型号以及制造商等信息必须与财政部、发展改革委最新发布“节能产品政府采购品目清单”和财政部、生态环境部最新发布“环境标志产品政府采购品目清单”一致。加分计算方法是：</w:t>
      </w:r>
    </w:p>
    <w:p>
      <w:pPr>
        <w:spacing w:line="360" w:lineRule="auto"/>
        <w:ind w:firstLine="480" w:firstLineChars="20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报价部分加分=报价得分×6%×（节能、环保产品价格在投标报价中所占比例）；</w:t>
      </w:r>
    </w:p>
    <w:p>
      <w:pPr>
        <w:spacing w:line="360" w:lineRule="auto"/>
        <w:ind w:firstLine="480" w:firstLineChars="20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技术部分加分=技术部分得分×6%×（节能、环保产品价格在投标报价中所占比例）。</w:t>
      </w:r>
    </w:p>
    <w:p>
      <w:pPr>
        <w:spacing w:line="360" w:lineRule="auto"/>
        <w:ind w:firstLine="482" w:firstLineChars="200"/>
        <w:rPr>
          <w:rFonts w:cs="宋体" w:asciiTheme="majorEastAsia" w:hAnsiTheme="majorEastAsia" w:eastAsiaTheme="majorEastAsia"/>
          <w:kern w:val="1"/>
          <w:sz w:val="24"/>
        </w:rPr>
      </w:pPr>
      <w:r>
        <w:rPr>
          <w:rFonts w:hint="eastAsia" w:cs="宋体" w:asciiTheme="majorEastAsia" w:hAnsiTheme="majorEastAsia" w:eastAsiaTheme="majorEastAsia"/>
          <w:b/>
          <w:bCs/>
          <w:kern w:val="1"/>
          <w:sz w:val="24"/>
        </w:rPr>
        <w:t>投标人具备此条件的开标时须提供以下资料（1）提供最新发布“节能产品政府采购品目清单”和“环境标志产品政府采购品目清单”相应页面的复印件并加盖公章；（2）提供有效期的节能产品、环境标志产品认证证书（原件或复印件加盖单位公章）；（3）在投标文件中详细列明节能环保产品价格在投标报价中所占比例。以上证明材料须同时具备，否则不予计分。</w:t>
      </w:r>
    </w:p>
    <w:p>
      <w:pPr>
        <w:numPr>
          <w:ilvl w:val="0"/>
          <w:numId w:val="10"/>
        </w:numPr>
        <w:spacing w:line="360" w:lineRule="auto"/>
        <w:ind w:firstLine="480" w:firstLineChars="200"/>
        <w:rPr>
          <w:rFonts w:cs="宋体" w:asciiTheme="majorEastAsia" w:hAnsiTheme="majorEastAsia" w:eastAsiaTheme="majorEastAsia"/>
          <w:sz w:val="24"/>
          <w:shd w:val="clear" w:color="auto" w:fill="FFFFFF"/>
        </w:rPr>
      </w:pPr>
      <w:r>
        <w:rPr>
          <w:rFonts w:hint="eastAsia" w:cs="宋体" w:asciiTheme="majorEastAsia" w:hAnsiTheme="majorEastAsia" w:eastAsiaTheme="majorEastAsia"/>
          <w:sz w:val="24"/>
          <w:shd w:val="clear" w:color="auto" w:fill="FFFFFF"/>
        </w:rPr>
        <w:t>对于前来投标的中小企业，依据《政府采购促进中小企业发展暂行办法》</w:t>
      </w:r>
      <w:r>
        <w:rPr>
          <w:rFonts w:hint="eastAsia" w:cs="宋体" w:asciiTheme="majorEastAsia" w:hAnsiTheme="majorEastAsia" w:eastAsiaTheme="majorEastAsia"/>
          <w:sz w:val="24"/>
        </w:rPr>
        <w:t>的规定，在评审中</w:t>
      </w:r>
      <w:r>
        <w:rPr>
          <w:rFonts w:hint="eastAsia" w:cs="宋体" w:asciiTheme="majorEastAsia" w:hAnsiTheme="majorEastAsia" w:eastAsiaTheme="majorEastAsia"/>
          <w:sz w:val="24"/>
          <w:shd w:val="clear" w:color="auto" w:fill="FFFFFF"/>
        </w:rPr>
        <w:t>对小型和微型企业产品的价格给予6%的扣除，用扣除后的价格参与评审。</w:t>
      </w:r>
    </w:p>
    <w:p>
      <w:pPr>
        <w:pStyle w:val="55"/>
        <w:ind w:left="0" w:leftChars="0" w:firstLine="480"/>
        <w:rPr>
          <w:rFonts w:cs="宋体" w:asciiTheme="majorEastAsia" w:hAnsiTheme="majorEastAsia" w:eastAsiaTheme="majorEastAsia"/>
          <w:sz w:val="24"/>
          <w:szCs w:val="22"/>
          <w:shd w:val="clear" w:color="auto" w:fill="FFFFFF"/>
        </w:rPr>
      </w:pPr>
      <w:r>
        <w:rPr>
          <w:rFonts w:hint="eastAsia" w:cs="宋体" w:asciiTheme="majorEastAsia" w:hAnsiTheme="majorEastAsia" w:eastAsiaTheme="majorEastAsia"/>
          <w:sz w:val="24"/>
          <w:szCs w:val="22"/>
          <w:shd w:val="clear" w:color="auto" w:fill="FFFFFF"/>
        </w:rPr>
        <w:t>加分计算方法是：</w:t>
      </w:r>
    </w:p>
    <w:p>
      <w:pPr>
        <w:pStyle w:val="55"/>
        <w:ind w:left="0" w:leftChars="0" w:firstLine="480"/>
        <w:rPr>
          <w:rFonts w:cs="宋体" w:asciiTheme="majorEastAsia" w:hAnsiTheme="majorEastAsia" w:eastAsiaTheme="majorEastAsia"/>
          <w:sz w:val="24"/>
          <w:szCs w:val="22"/>
          <w:shd w:val="clear" w:color="auto" w:fill="FFFFFF"/>
        </w:rPr>
      </w:pPr>
      <w:r>
        <w:rPr>
          <w:rFonts w:hint="eastAsia" w:cs="宋体" w:asciiTheme="majorEastAsia" w:hAnsiTheme="majorEastAsia" w:eastAsiaTheme="majorEastAsia"/>
          <w:sz w:val="24"/>
          <w:szCs w:val="22"/>
          <w:shd w:val="clear" w:color="auto" w:fill="FFFFFF"/>
        </w:rPr>
        <w:t>参与评审报价=非小型和微型企业产品价格+小型和微型企业产品价格×94%。</w:t>
      </w:r>
    </w:p>
    <w:p>
      <w:pPr>
        <w:spacing w:line="360" w:lineRule="auto"/>
        <w:ind w:firstLine="480" w:firstLineChars="200"/>
        <w:rPr>
          <w:rFonts w:cs="宋体" w:asciiTheme="majorEastAsia" w:hAnsiTheme="majorEastAsia" w:eastAsiaTheme="majorEastAsia"/>
          <w:sz w:val="24"/>
          <w:szCs w:val="22"/>
          <w:shd w:val="clear" w:color="auto" w:fill="FFFFFF"/>
        </w:rPr>
      </w:pPr>
      <w:r>
        <w:rPr>
          <w:rFonts w:hint="eastAsia" w:cs="宋体" w:asciiTheme="majorEastAsia" w:hAnsiTheme="majorEastAsia" w:eastAsiaTheme="majorEastAsia"/>
          <w:sz w:val="24"/>
          <w:szCs w:val="22"/>
          <w:shd w:val="clear" w:color="auto" w:fill="FFFFFF"/>
        </w:rPr>
        <w:t>报价时，供应商须提供《中小企业声明函》原件，且须在投标文件中详细列明小型和微型企业产品价格明细，否则不给予价格扣除。</w:t>
      </w:r>
    </w:p>
    <w:p>
      <w:pPr>
        <w:spacing w:line="360" w:lineRule="auto"/>
        <w:ind w:firstLine="480" w:firstLineChars="200"/>
        <w:rPr>
          <w:rFonts w:cs="宋体" w:asciiTheme="majorEastAsia" w:hAnsiTheme="majorEastAsia" w:eastAsiaTheme="majorEastAsia"/>
          <w:sz w:val="24"/>
          <w:szCs w:val="22"/>
          <w:shd w:val="clear" w:color="auto" w:fill="FFFFFF"/>
        </w:rPr>
      </w:pPr>
      <w:r>
        <w:rPr>
          <w:rFonts w:hint="eastAsia" w:cs="宋体" w:asciiTheme="majorEastAsia" w:hAnsiTheme="majorEastAsia" w:eastAsiaTheme="majorEastAsia"/>
          <w:sz w:val="24"/>
          <w:szCs w:val="22"/>
          <w:shd w:val="clear" w:color="auto" w:fill="FFFFFF"/>
        </w:rPr>
        <w:t>在评审过程中，对中小企业的认定以供应商提供的《中小企业声明函》</w:t>
      </w:r>
      <w:r>
        <w:rPr>
          <w:rFonts w:hint="eastAsia" w:cs="宋体" w:asciiTheme="majorEastAsia" w:hAnsiTheme="majorEastAsia" w:eastAsiaTheme="majorEastAsia"/>
          <w:sz w:val="24"/>
        </w:rPr>
        <w:t>为准，不得以网上查询或者自行认定结果否定</w:t>
      </w:r>
      <w:r>
        <w:rPr>
          <w:rFonts w:hint="eastAsia" w:cs="宋体" w:asciiTheme="majorEastAsia" w:hAnsiTheme="majorEastAsia" w:eastAsiaTheme="majorEastAsia"/>
          <w:sz w:val="24"/>
          <w:shd w:val="clear" w:color="auto" w:fill="FFFFFF"/>
        </w:rPr>
        <w:t>供应商的</w:t>
      </w:r>
      <w:r>
        <w:rPr>
          <w:rFonts w:hint="eastAsia" w:cs="宋体" w:asciiTheme="majorEastAsia" w:hAnsiTheme="majorEastAsia" w:eastAsiaTheme="majorEastAsia"/>
          <w:sz w:val="24"/>
        </w:rPr>
        <w:t>中小企业性质。供应商提供的《中小企业声明函》与事实不符的，依照《中华人民共和国政府采购法》第七十七条第一款的规定追究法律责</w:t>
      </w:r>
      <w:r>
        <w:rPr>
          <w:rFonts w:hint="eastAsia" w:cs="宋体" w:asciiTheme="majorEastAsia" w:hAnsiTheme="majorEastAsia" w:eastAsiaTheme="majorEastAsia"/>
          <w:sz w:val="24"/>
          <w:szCs w:val="22"/>
          <w:shd w:val="clear" w:color="auto" w:fill="FFFFFF"/>
        </w:rPr>
        <w:t>任。</w:t>
      </w:r>
    </w:p>
    <w:p>
      <w:pPr>
        <w:spacing w:line="360" w:lineRule="auto"/>
        <w:ind w:firstLine="480" w:firstLineChars="200"/>
        <w:rPr>
          <w:rFonts w:cs="宋体" w:asciiTheme="majorEastAsia" w:hAnsiTheme="majorEastAsia" w:eastAsiaTheme="majorEastAsia"/>
          <w:sz w:val="24"/>
          <w:szCs w:val="22"/>
          <w:shd w:val="clear" w:color="auto" w:fill="FFFFFF"/>
        </w:rPr>
      </w:pPr>
      <w:r>
        <w:rPr>
          <w:rFonts w:hint="eastAsia" w:cs="宋体" w:asciiTheme="majorEastAsia" w:hAnsiTheme="majorEastAsia" w:eastAsiaTheme="majorEastAsia"/>
          <w:sz w:val="24"/>
          <w:szCs w:val="22"/>
          <w:shd w:val="clear" w:color="auto" w:fill="FFFFFF"/>
        </w:rPr>
        <w:t>大中型企业和法人、其他组织或者自然人与小型、微型企业组成联合体报价，联合协议中约定，小型、微型企业的协议合同金额占到联合体协议合同金额30%以上的，可给予联合体2%的价格扣除。计算方法是：</w:t>
      </w:r>
    </w:p>
    <w:p>
      <w:pPr>
        <w:spacing w:line="360" w:lineRule="auto"/>
        <w:ind w:firstLine="480" w:firstLineChars="200"/>
        <w:rPr>
          <w:rFonts w:asciiTheme="majorEastAsia" w:hAnsiTheme="majorEastAsia" w:eastAsiaTheme="majorEastAsia"/>
        </w:rPr>
      </w:pPr>
      <w:r>
        <w:rPr>
          <w:rFonts w:hint="eastAsia" w:cs="宋体" w:asciiTheme="majorEastAsia" w:hAnsiTheme="majorEastAsia" w:eastAsiaTheme="majorEastAsia"/>
          <w:sz w:val="24"/>
          <w:szCs w:val="22"/>
          <w:shd w:val="clear" w:color="auto" w:fill="FFFFFF"/>
        </w:rPr>
        <w:t>计算方法：最终价格＝非小型和微型企业产品价格+小型和微型企业产品价格×98%。</w:t>
      </w:r>
    </w:p>
    <w:p>
      <w:pPr>
        <w:spacing w:line="360" w:lineRule="auto"/>
        <w:ind w:firstLine="480" w:firstLineChars="200"/>
        <w:rPr>
          <w:rFonts w:cs="宋体" w:asciiTheme="majorEastAsia" w:hAnsiTheme="majorEastAsia" w:eastAsiaTheme="majorEastAsia"/>
          <w:sz w:val="24"/>
          <w:szCs w:val="22"/>
          <w:shd w:val="clear" w:color="auto" w:fill="FFFFFF"/>
        </w:rPr>
      </w:pPr>
      <w:r>
        <w:rPr>
          <w:rFonts w:hint="eastAsia" w:cs="宋体" w:asciiTheme="majorEastAsia" w:hAnsiTheme="majorEastAsia" w:eastAsiaTheme="majorEastAsia"/>
          <w:sz w:val="24"/>
          <w:szCs w:val="22"/>
          <w:shd w:val="clear" w:color="auto" w:fill="FFFFFF"/>
        </w:rPr>
        <w:t>报价时，供应商须同时提供《中小企业声明函》原件和联合体协议原件，且须在投标文件中详细列明小型和微型企业产品价格明细，否则不给予价格扣除</w:t>
      </w:r>
    </w:p>
    <w:p>
      <w:pPr>
        <w:widowControl/>
        <w:adjustRightIn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3、监狱企业视同为小型</w:t>
      </w:r>
      <w:r>
        <w:rPr>
          <w:rFonts w:hint="eastAsia" w:cs="宋体" w:asciiTheme="majorEastAsia" w:hAnsiTheme="majorEastAsia" w:eastAsiaTheme="majorEastAsia"/>
          <w:sz w:val="24"/>
          <w:shd w:val="clear" w:color="auto" w:fill="FFFFFF"/>
        </w:rPr>
        <w:t>和微型企业，享受相关优惠政策。</w:t>
      </w:r>
      <w:r>
        <w:rPr>
          <w:rFonts w:hint="eastAsia" w:cs="宋体" w:asciiTheme="majorEastAsia" w:hAnsiTheme="majorEastAsia" w:eastAsiaTheme="majorEastAsia"/>
          <w:sz w:val="24"/>
        </w:rPr>
        <w:t>监狱企业参加政府采购活动时，应当提供由省级以上监狱管理局、戒毒管理局（含新疆生产建设兵团）出具的属于监狱企业的证明文件。</w:t>
      </w:r>
    </w:p>
    <w:p>
      <w:pPr>
        <w:spacing w:line="360" w:lineRule="auto"/>
        <w:ind w:left="420" w:leftChars="200"/>
        <w:rPr>
          <w:rFonts w:asciiTheme="majorEastAsia" w:hAnsiTheme="majorEastAsia" w:eastAsiaTheme="majorEastAsia"/>
          <w:sz w:val="24"/>
          <w:szCs w:val="24"/>
        </w:rPr>
      </w:pPr>
      <w:r>
        <w:rPr>
          <w:rFonts w:hint="eastAsia" w:asciiTheme="majorEastAsia" w:hAnsiTheme="majorEastAsia" w:eastAsiaTheme="majorEastAsia"/>
          <w:sz w:val="24"/>
          <w:szCs w:val="24"/>
        </w:rPr>
        <w:t>参与评审报价的计算方法是：</w:t>
      </w:r>
    </w:p>
    <w:p>
      <w:pPr>
        <w:spacing w:line="360" w:lineRule="auto"/>
        <w:ind w:left="420" w:leftChars="200"/>
        <w:rPr>
          <w:rFonts w:asciiTheme="majorEastAsia" w:hAnsiTheme="majorEastAsia" w:eastAsiaTheme="majorEastAsia"/>
          <w:sz w:val="24"/>
          <w:szCs w:val="24"/>
        </w:rPr>
      </w:pPr>
      <w:r>
        <w:rPr>
          <w:rFonts w:hint="eastAsia" w:asciiTheme="majorEastAsia" w:hAnsiTheme="majorEastAsia" w:eastAsiaTheme="majorEastAsia"/>
          <w:sz w:val="24"/>
          <w:szCs w:val="24"/>
        </w:rPr>
        <w:t>参与评审报价=非监狱企业产品价格+监狱企业产品价格×94%。</w:t>
      </w:r>
    </w:p>
    <w:p>
      <w:pPr>
        <w:spacing w:line="360" w:lineRule="auto"/>
        <w:ind w:left="420" w:leftChars="200"/>
        <w:rPr>
          <w:rFonts w:asciiTheme="majorEastAsia" w:hAnsiTheme="majorEastAsia" w:eastAsiaTheme="majorEastAsia"/>
        </w:rPr>
      </w:pPr>
      <w:r>
        <w:rPr>
          <w:rFonts w:hint="eastAsia" w:asciiTheme="majorEastAsia" w:hAnsiTheme="majorEastAsia" w:eastAsiaTheme="majorEastAsia"/>
          <w:sz w:val="24"/>
          <w:szCs w:val="24"/>
        </w:rPr>
        <w:t>注：1、根据山东省财政厅、山东省司法厅关于转发财政部、司法部《关于政府采购支持监狱企业发展有关问题的通知》的通知（鲁财采[2014]33号）文件规定，有制服、消防设备和特种车辆采购在项目评审时，对其产品给予8%的价格扣除；2、监狱企业参加政府采购活动时，应当提供相关有效的证明材料，且须在投标文件中详细列明监狱企业产品价格明细，否则不给予价格扣除。</w:t>
      </w:r>
    </w:p>
    <w:p>
      <w:pPr>
        <w:widowControl/>
        <w:adjustRightInd w:val="0"/>
        <w:spacing w:line="360" w:lineRule="auto"/>
        <w:ind w:firstLine="480" w:firstLineChars="200"/>
        <w:rPr>
          <w:rFonts w:asciiTheme="majorEastAsia" w:hAnsiTheme="majorEastAsia" w:eastAsiaTheme="majorEastAsia"/>
          <w:b/>
          <w:sz w:val="24"/>
          <w:szCs w:val="24"/>
        </w:rPr>
      </w:pPr>
      <w:r>
        <w:rPr>
          <w:rFonts w:hint="eastAsia" w:cs="宋体" w:asciiTheme="majorEastAsia" w:hAnsiTheme="majorEastAsia" w:eastAsiaTheme="majorEastAsia"/>
          <w:sz w:val="24"/>
        </w:rPr>
        <w:t>4、残疾人福利性单位视同小型、微型企业，享受预留份额、评审中价格扣除等促进中小企业发展的政府采购政策。残疾人福利性单位在参加政府采购活动时，应当提供《残疾人福利性单位声明函》。残疾人福利性单位属于小型、微型企业的，不重复享受政策。供应商提供的《残疾人福利性单位声明函》与事实不符的，依照《中华人民共和国政府采购法》第七十七条第一款的规定追究法律责任。</w:t>
      </w:r>
    </w:p>
    <w:p>
      <w:pPr>
        <w:topLinePunct/>
        <w:spacing w:line="48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4) 定标原则</w:t>
      </w:r>
    </w:p>
    <w:p>
      <w:pPr>
        <w:topLinePunct/>
        <w:spacing w:line="480" w:lineRule="exact"/>
        <w:ind w:firstLine="340" w:firstLineChars="142"/>
        <w:rPr>
          <w:rFonts w:asciiTheme="majorEastAsia" w:hAnsiTheme="majorEastAsia" w:eastAsiaTheme="majorEastAsia"/>
          <w:sz w:val="24"/>
          <w:szCs w:val="24"/>
        </w:rPr>
      </w:pPr>
      <w:r>
        <w:rPr>
          <w:rFonts w:hint="eastAsia" w:asciiTheme="majorEastAsia" w:hAnsiTheme="majorEastAsia" w:eastAsiaTheme="majorEastAsia"/>
          <w:sz w:val="24"/>
          <w:szCs w:val="24"/>
        </w:rPr>
        <w:t>采购人或其授权的磋商委员会按照评审报告中推荐的成交候选供应商得分从高到低的排名顺序确定成交人。</w:t>
      </w:r>
    </w:p>
    <w:p>
      <w:pPr>
        <w:topLinePunct/>
        <w:spacing w:line="480" w:lineRule="exac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 xml:space="preserve">5）关于投标人瑕疵滞后发现的处理规则 </w:t>
      </w:r>
    </w:p>
    <w:p>
      <w:pPr>
        <w:topLinePunct/>
        <w:spacing w:line="480" w:lineRule="exact"/>
        <w:ind w:firstLine="580" w:firstLineChars="242"/>
        <w:rPr>
          <w:rFonts w:asciiTheme="majorEastAsia" w:hAnsiTheme="majorEastAsia" w:eastAsiaTheme="majorEastAsia"/>
          <w:sz w:val="24"/>
          <w:szCs w:val="24"/>
        </w:rPr>
      </w:pPr>
      <w:r>
        <w:rPr>
          <w:rFonts w:hint="eastAsia" w:asciiTheme="majorEastAsia" w:hAnsiTheme="majorEastAsia" w:eastAsiaTheme="majorEastAsia"/>
          <w:sz w:val="24"/>
          <w:szCs w:val="24"/>
        </w:rPr>
        <w:t>（1）无论基于何种原因，本应作无效、废标处理的情形即便未被及时发现而使人进入初审、详细评审或者其它后续程序，包括已经签约的情形，一旦在任何时间存在上述情形，评标委员会均有权随时视情形决定是否取消该投标人的此前评议结者随时视情形决定该投标无效，并有权决定采取相应的补救、纠正措施；若通过补正措施能够满足招标文件或者招标人要求，评标委员会可以维持既定结果并要求中商出具补救、纠正措施等承诺，由此产生的一切费用由成交供应商承担；若通过补正措施仍不能够满足招标文件或者招标人要求，评标委员会应出具取消该投标人的议结果的复审结论，并予以废标，由此产生的一切损失均由成交供应商承担。评标委员会认定成交供应商投标无效、废标或者成交供应商的此前评议结果被取招标文件规定由评标委员会直接确定成交供应商的，应予以废标，由招标人依法招标。出现上述情形的一切损失均由取消入围资格的投标人承担。</w:t>
      </w:r>
    </w:p>
    <w:p>
      <w:pPr>
        <w:topLinePunct/>
        <w:spacing w:line="480" w:lineRule="exact"/>
        <w:ind w:firstLine="580" w:firstLineChars="242"/>
        <w:rPr>
          <w:rFonts w:asciiTheme="majorEastAsia" w:hAnsiTheme="majorEastAsia" w:eastAsiaTheme="majorEastAsia"/>
          <w:sz w:val="24"/>
          <w:szCs w:val="24"/>
        </w:rPr>
      </w:pPr>
      <w:r>
        <w:rPr>
          <w:rFonts w:hint="eastAsia" w:asciiTheme="majorEastAsia" w:hAnsiTheme="majorEastAsia" w:eastAsiaTheme="majorEastAsia"/>
          <w:sz w:val="24"/>
          <w:szCs w:val="24"/>
        </w:rPr>
        <w:t>（2）若已经超过质疑期限而没有被发现，签署了相关的合同之后才发现存在上述经评标委员会再行审查认为其在技术、必要资质等方面并不存在问题而仅属于商务在瑕疵的问题，若取消该投标人的此前评议结果或者采取类似的处理措施将对本次购更为不利的情形（包括：予以无效投标、废标或者采取类似的处理措施将使本次购成本大幅上升、延误期限以至可能给招标人造成较大损失的），维持成交结果的人必须出具维持成交结果以及是否要求提供特别担保金的书面意见，评标委员会可既定结果并要求成交供应商出具提供特别担保金承诺，以承担可能产生的赔偿责任标供应商拒绝提供特别担保金、实际提供的担保金额不足或者招标人不同意维持的，评标委员会应当决定取消成交供应商的此前评议结果或者采取类似的处理措施产生的一切损失均由成交供应商承担。</w:t>
      </w:r>
    </w:p>
    <w:p>
      <w:pPr>
        <w:topLinePunct/>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26.特殊情况下的评审方法</w:t>
      </w:r>
    </w:p>
    <w:p>
      <w:pPr>
        <w:topLinePunct/>
        <w:spacing w:line="460" w:lineRule="exact"/>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如出现供应商达不到法定数量、全部落标、串通报价、</w:t>
      </w:r>
      <w:r>
        <w:rPr>
          <w:rFonts w:hint="eastAsia" w:asciiTheme="majorEastAsia" w:hAnsiTheme="majorEastAsia" w:eastAsiaTheme="majorEastAsia"/>
          <w:b/>
          <w:sz w:val="24"/>
          <w:szCs w:val="24"/>
          <w:u w:val="single"/>
        </w:rPr>
        <w:t>报价超出项目预算</w:t>
      </w:r>
      <w:r>
        <w:rPr>
          <w:rFonts w:hint="eastAsia" w:asciiTheme="majorEastAsia" w:hAnsiTheme="majorEastAsia" w:eastAsiaTheme="majorEastAsia"/>
          <w:sz w:val="24"/>
          <w:szCs w:val="24"/>
        </w:rPr>
        <w:t>以及供应商互相诋毁，导致磋商小组无法评审时，磋商小组有权停止采购，否决所有报价，采购人有权改用其它采购方式进行采购。</w:t>
      </w:r>
    </w:p>
    <w:p>
      <w:pPr>
        <w:topLinePunct/>
        <w:spacing w:line="54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27.特别说明</w:t>
      </w:r>
    </w:p>
    <w:p>
      <w:pPr>
        <w:topLinePunct/>
        <w:spacing w:line="540" w:lineRule="exact"/>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1）无论报价结果如何，采购人无向供应商解释其成交、未成交原因的义务。</w:t>
      </w:r>
    </w:p>
    <w:p>
      <w:pPr>
        <w:topLinePunct/>
        <w:spacing w:line="500" w:lineRule="exact"/>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2）无论报价结果如何，供应商的响应文件均不退还。</w:t>
      </w:r>
    </w:p>
    <w:p>
      <w:pPr>
        <w:topLinePunct/>
        <w:spacing w:line="500" w:lineRule="exact"/>
        <w:ind w:firstLine="360" w:firstLineChars="150"/>
        <w:rPr>
          <w:rFonts w:asciiTheme="majorEastAsia" w:hAnsiTheme="majorEastAsia" w:eastAsiaTheme="majorEastAsia"/>
          <w:b/>
          <w:sz w:val="28"/>
          <w:szCs w:val="28"/>
        </w:rPr>
      </w:pPr>
      <w:r>
        <w:rPr>
          <w:rFonts w:hint="eastAsia" w:asciiTheme="majorEastAsia" w:hAnsiTheme="majorEastAsia" w:eastAsiaTheme="majorEastAsia"/>
          <w:sz w:val="24"/>
          <w:szCs w:val="24"/>
        </w:rPr>
        <w:t>3）无论成交与否,已领取磋商文件的供应商对磋商文件负保密责任。</w:t>
      </w:r>
    </w:p>
    <w:p>
      <w:pPr>
        <w:spacing w:line="500" w:lineRule="exact"/>
        <w:jc w:val="center"/>
        <w:outlineLvl w:val="0"/>
        <w:rPr>
          <w:rFonts w:asciiTheme="majorEastAsia" w:hAnsiTheme="majorEastAsia" w:eastAsiaTheme="majorEastAsia"/>
          <w:b/>
          <w:sz w:val="28"/>
          <w:szCs w:val="28"/>
        </w:rPr>
      </w:pPr>
      <w:r>
        <w:rPr>
          <w:rFonts w:hint="eastAsia" w:asciiTheme="majorEastAsia" w:hAnsiTheme="majorEastAsia" w:eastAsiaTheme="majorEastAsia"/>
          <w:b/>
          <w:sz w:val="28"/>
          <w:szCs w:val="28"/>
        </w:rPr>
        <w:t>六、合同的授予</w:t>
      </w:r>
    </w:p>
    <w:p>
      <w:pPr>
        <w:topLinePunct/>
        <w:spacing w:line="50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28.合同授予标准</w:t>
      </w:r>
    </w:p>
    <w:p>
      <w:pPr>
        <w:topLinePunct/>
        <w:spacing w:line="500" w:lineRule="exact"/>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本项目的采购合同将授予按本须知第25条规定确定的成交人。</w:t>
      </w:r>
    </w:p>
    <w:p>
      <w:pPr>
        <w:topLinePunct/>
        <w:spacing w:line="50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29.成交通知书</w:t>
      </w:r>
    </w:p>
    <w:p>
      <w:pPr>
        <w:spacing w:line="500" w:lineRule="exact"/>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1) 在报价有效期期满之前，采购代理机构将以书面形式向成交人发出《成交通知书》，确认其报价已被接受。《成交通知书》一经发出即发生法律效力。</w:t>
      </w:r>
    </w:p>
    <w:p>
      <w:pPr>
        <w:spacing w:line="500" w:lineRule="exact"/>
        <w:ind w:left="719" w:leftChars="171" w:hanging="360" w:hangingChars="150"/>
        <w:rPr>
          <w:rFonts w:asciiTheme="majorEastAsia" w:hAnsiTheme="majorEastAsia" w:eastAsiaTheme="majorEastAsia"/>
          <w:sz w:val="24"/>
          <w:szCs w:val="24"/>
        </w:rPr>
      </w:pPr>
      <w:r>
        <w:rPr>
          <w:rFonts w:hint="eastAsia" w:asciiTheme="majorEastAsia" w:hAnsiTheme="majorEastAsia" w:eastAsiaTheme="majorEastAsia"/>
          <w:sz w:val="24"/>
          <w:szCs w:val="24"/>
        </w:rPr>
        <w:t>2) 成交通知书是签订合同的依据和组成部分。</w:t>
      </w:r>
    </w:p>
    <w:p>
      <w:pPr>
        <w:spacing w:line="50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30.关于知识产权的说明</w:t>
      </w:r>
    </w:p>
    <w:p>
      <w:pPr>
        <w:adjustRightInd w:val="0"/>
        <w:snapToGrid w:val="0"/>
        <w:spacing w:line="500" w:lineRule="exact"/>
        <w:ind w:left="120" w:leftChars="57"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乙方应保证本项目的响应技术、服务或其任何一部分不会产生因第三方提出侵犯其专利权、商标权或其他知识产权而引起的法律和经济纠纷；如因第三方提出其专利权、商标权或其他知识产权的侵权之诉，则一切法律责任由乙方承担。</w:t>
      </w:r>
    </w:p>
    <w:p>
      <w:pPr>
        <w:spacing w:line="50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31.签订合同</w:t>
      </w:r>
    </w:p>
    <w:p>
      <w:pPr>
        <w:spacing w:line="500" w:lineRule="exact"/>
        <w:ind w:firstLine="360" w:firstLineChars="150"/>
        <w:rPr>
          <w:rFonts w:asciiTheme="majorEastAsia" w:hAnsiTheme="majorEastAsia" w:eastAsiaTheme="majorEastAsia"/>
          <w:b/>
          <w:sz w:val="24"/>
          <w:szCs w:val="24"/>
          <w:u w:val="single"/>
        </w:rPr>
      </w:pPr>
      <w:r>
        <w:rPr>
          <w:rFonts w:hint="eastAsia" w:asciiTheme="majorEastAsia" w:hAnsiTheme="majorEastAsia" w:eastAsiaTheme="majorEastAsia"/>
          <w:sz w:val="24"/>
          <w:szCs w:val="24"/>
        </w:rPr>
        <w:t>1)</w:t>
      </w:r>
      <w:r>
        <w:rPr>
          <w:rFonts w:hint="eastAsia" w:asciiTheme="majorEastAsia" w:hAnsiTheme="majorEastAsia" w:eastAsiaTheme="majorEastAsia"/>
        </w:rPr>
        <w:t xml:space="preserve"> </w:t>
      </w:r>
      <w:r>
        <w:rPr>
          <w:rFonts w:hint="eastAsia" w:asciiTheme="majorEastAsia" w:hAnsiTheme="majorEastAsia" w:eastAsiaTheme="majorEastAsia"/>
          <w:sz w:val="24"/>
          <w:szCs w:val="24"/>
        </w:rPr>
        <w:t>成交人应按成交通知书指定的时间、地点与采购人签订合同。磋商文件、成交人的响应文件及澄清文件等，均为签订合同的依据。合同盖章生效。</w:t>
      </w:r>
    </w:p>
    <w:p>
      <w:pPr>
        <w:spacing w:line="500" w:lineRule="exact"/>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2) 成交人无正当理由未在规定时间内与采购人签订合同的，采购人有权取消其成交资格，并按相关法律法规规定处理。</w:t>
      </w:r>
    </w:p>
    <w:p>
      <w:pPr>
        <w:topLinePunct/>
        <w:spacing w:line="50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32.成交服务费</w:t>
      </w:r>
    </w:p>
    <w:p>
      <w:pPr>
        <w:tabs>
          <w:tab w:val="left" w:pos="720"/>
        </w:tabs>
        <w:spacing w:line="500" w:lineRule="exact"/>
        <w:ind w:firstLine="360" w:firstLineChars="150"/>
        <w:rPr>
          <w:rFonts w:asciiTheme="majorEastAsia" w:hAnsiTheme="majorEastAsia" w:eastAsiaTheme="majorEastAsia"/>
          <w:bCs/>
          <w:kern w:val="11"/>
          <w:sz w:val="24"/>
          <w:szCs w:val="24"/>
        </w:rPr>
      </w:pPr>
      <w:r>
        <w:rPr>
          <w:rFonts w:hint="eastAsia" w:asciiTheme="majorEastAsia" w:hAnsiTheme="majorEastAsia" w:eastAsiaTheme="majorEastAsia"/>
          <w:sz w:val="24"/>
          <w:szCs w:val="24"/>
        </w:rPr>
        <w:t>1) 按照成交金额的1.5%计取，</w:t>
      </w:r>
      <w:r>
        <w:rPr>
          <w:rFonts w:hint="eastAsia" w:asciiTheme="majorEastAsia" w:hAnsiTheme="majorEastAsia" w:eastAsiaTheme="majorEastAsia"/>
          <w:bCs/>
          <w:kern w:val="11"/>
          <w:sz w:val="24"/>
          <w:szCs w:val="24"/>
        </w:rPr>
        <w:t>由成交人支付。（按成交额计算,若需开具发票，请于交纳代理费当月到我公司财务科办理，逾期不办。）</w:t>
      </w:r>
    </w:p>
    <w:p>
      <w:pPr>
        <w:topLinePunct/>
        <w:spacing w:line="500" w:lineRule="exact"/>
        <w:rPr>
          <w:rFonts w:asciiTheme="majorEastAsia" w:hAnsiTheme="majorEastAsia" w:eastAsiaTheme="majorEastAsia"/>
          <w:b/>
          <w:sz w:val="24"/>
        </w:rPr>
      </w:pPr>
      <w:r>
        <w:rPr>
          <w:rFonts w:hint="eastAsia" w:asciiTheme="majorEastAsia" w:hAnsiTheme="majorEastAsia" w:eastAsiaTheme="majorEastAsia"/>
          <w:b/>
          <w:sz w:val="24"/>
        </w:rPr>
        <w:t>33.公证费</w:t>
      </w:r>
    </w:p>
    <w:p>
      <w:pPr>
        <w:topLinePunct/>
        <w:spacing w:line="500" w:lineRule="exact"/>
        <w:ind w:firstLine="480" w:firstLineChars="200"/>
        <w:rPr>
          <w:rFonts w:asciiTheme="majorEastAsia" w:hAnsiTheme="majorEastAsia" w:eastAsiaTheme="majorEastAsia"/>
          <w:b/>
          <w:sz w:val="30"/>
          <w:szCs w:val="30"/>
        </w:rPr>
      </w:pPr>
      <w:r>
        <w:rPr>
          <w:rFonts w:hint="eastAsia" w:asciiTheme="majorEastAsia" w:hAnsiTheme="majorEastAsia" w:eastAsiaTheme="majorEastAsia"/>
          <w:sz w:val="24"/>
        </w:rPr>
        <w:t>公证费由兰山公证处收取，成交人支付。（具体解释权归公证处）。</w:t>
      </w:r>
    </w:p>
    <w:p>
      <w:pPr>
        <w:tabs>
          <w:tab w:val="left" w:pos="0"/>
        </w:tabs>
        <w:spacing w:line="460" w:lineRule="exact"/>
        <w:ind w:firstLine="354" w:firstLineChars="98"/>
        <w:rPr>
          <w:rFonts w:asciiTheme="majorEastAsia" w:hAnsiTheme="majorEastAsia" w:eastAsiaTheme="majorEastAsia"/>
          <w:b/>
          <w:bCs/>
          <w:sz w:val="36"/>
          <w:szCs w:val="36"/>
        </w:rPr>
      </w:pPr>
    </w:p>
    <w:p>
      <w:pPr>
        <w:tabs>
          <w:tab w:val="left" w:pos="0"/>
        </w:tabs>
        <w:spacing w:line="460" w:lineRule="exact"/>
        <w:ind w:firstLine="354" w:firstLineChars="98"/>
        <w:jc w:val="center"/>
        <w:rPr>
          <w:rFonts w:asciiTheme="majorEastAsia" w:hAnsiTheme="majorEastAsia" w:eastAsiaTheme="majorEastAsia"/>
          <w:b/>
          <w:bCs/>
          <w:sz w:val="36"/>
          <w:szCs w:val="36"/>
        </w:rPr>
      </w:pPr>
    </w:p>
    <w:p>
      <w:pPr>
        <w:pStyle w:val="2"/>
      </w:pPr>
    </w:p>
    <w:p>
      <w:pPr>
        <w:pStyle w:val="65"/>
        <w:ind w:left="0" w:leftChars="0" w:firstLine="0" w:firstLineChars="0"/>
      </w:pPr>
    </w:p>
    <w:p>
      <w:pPr>
        <w:tabs>
          <w:tab w:val="left" w:pos="0"/>
        </w:tabs>
        <w:spacing w:line="460" w:lineRule="exact"/>
        <w:ind w:firstLine="354" w:firstLineChars="98"/>
        <w:jc w:val="center"/>
        <w:rPr>
          <w:rFonts w:asciiTheme="majorEastAsia" w:hAnsiTheme="majorEastAsia" w:eastAsiaTheme="majorEastAsia"/>
          <w:b/>
          <w:bCs/>
          <w:sz w:val="24"/>
        </w:rPr>
      </w:pPr>
      <w:r>
        <w:rPr>
          <w:rFonts w:hint="eastAsia" w:asciiTheme="majorEastAsia" w:hAnsiTheme="majorEastAsia" w:eastAsiaTheme="majorEastAsia"/>
          <w:b/>
          <w:bCs/>
          <w:sz w:val="36"/>
          <w:szCs w:val="36"/>
        </w:rPr>
        <w:t>第三章   项目说明、要求</w:t>
      </w:r>
    </w:p>
    <w:p>
      <w:pPr>
        <w:pStyle w:val="66"/>
        <w:rPr>
          <w:rFonts w:cs="宋体" w:asciiTheme="majorEastAsia" w:hAnsiTheme="majorEastAsia" w:eastAsiaTheme="majorEastAsia"/>
          <w:b/>
          <w:szCs w:val="24"/>
        </w:rPr>
      </w:pPr>
    </w:p>
    <w:p>
      <w:pPr>
        <w:overflowPunct w:val="0"/>
        <w:spacing w:line="360" w:lineRule="auto"/>
        <w:rPr>
          <w:rFonts w:asciiTheme="majorEastAsia" w:hAnsiTheme="majorEastAsia" w:eastAsiaTheme="majorEastAsia"/>
          <w:color w:val="000000"/>
          <w:sz w:val="28"/>
          <w:szCs w:val="28"/>
        </w:rPr>
      </w:pPr>
      <w:r>
        <w:rPr>
          <w:rFonts w:hint="eastAsia" w:asciiTheme="majorEastAsia" w:hAnsiTheme="majorEastAsia" w:eastAsiaTheme="majorEastAsia"/>
          <w:b/>
          <w:color w:val="000000"/>
          <w:sz w:val="28"/>
          <w:szCs w:val="28"/>
        </w:rPr>
        <w:t>一、项目概况</w:t>
      </w:r>
    </w:p>
    <w:p>
      <w:pPr>
        <w:tabs>
          <w:tab w:val="left" w:pos="0"/>
        </w:tabs>
        <w:spacing w:line="460" w:lineRule="exact"/>
        <w:ind w:firstLine="480" w:firstLineChars="200"/>
        <w:rPr>
          <w:rFonts w:hint="eastAsia" w:ascii="宋体" w:hAnsi="宋体" w:eastAsia="宋体" w:cs="Times New Roman"/>
          <w:sz w:val="24"/>
          <w:szCs w:val="22"/>
          <w:lang w:eastAsia="zh-CN"/>
        </w:rPr>
      </w:pPr>
      <w:r>
        <w:rPr>
          <w:rFonts w:hint="eastAsia" w:ascii="宋体" w:hAnsi="宋体" w:eastAsia="宋体" w:cs="Times New Roman"/>
          <w:sz w:val="24"/>
          <w:szCs w:val="22"/>
          <w:lang w:val="en-US" w:eastAsia="zh-CN"/>
        </w:rPr>
        <w:t>1、</w:t>
      </w:r>
      <w:r>
        <w:rPr>
          <w:rFonts w:hint="eastAsia" w:ascii="宋体" w:hAnsi="宋体" w:eastAsia="宋体" w:cs="Times New Roman"/>
          <w:sz w:val="24"/>
          <w:szCs w:val="22"/>
        </w:rPr>
        <w:t>项目名称：</w:t>
      </w:r>
      <w:r>
        <w:rPr>
          <w:rFonts w:hint="eastAsia" w:ascii="宋体" w:hAnsi="宋体" w:eastAsia="宋体" w:cs="Times New Roman"/>
          <w:sz w:val="24"/>
          <w:szCs w:val="22"/>
          <w:lang w:eastAsia="zh-CN"/>
        </w:rPr>
        <w:t>临沂市妇幼保健院院内指示导引系统项目</w:t>
      </w:r>
    </w:p>
    <w:p>
      <w:pPr>
        <w:tabs>
          <w:tab w:val="left" w:pos="0"/>
        </w:tabs>
        <w:spacing w:line="460" w:lineRule="exact"/>
        <w:ind w:firstLine="480" w:firstLineChars="200"/>
        <w:rPr>
          <w:rFonts w:hint="eastAsia" w:ascii="宋体" w:hAnsi="宋体" w:eastAsia="宋体" w:cs="Times New Roman"/>
          <w:sz w:val="24"/>
          <w:szCs w:val="22"/>
          <w:lang w:val="zh-CN"/>
        </w:rPr>
      </w:pPr>
      <w:r>
        <w:rPr>
          <w:rFonts w:hint="eastAsia" w:ascii="宋体" w:hAnsi="宋体" w:eastAsia="宋体" w:cs="Times New Roman"/>
          <w:sz w:val="24"/>
          <w:szCs w:val="22"/>
          <w:lang w:val="en-US" w:eastAsia="zh-CN"/>
        </w:rPr>
        <w:t>2、</w:t>
      </w:r>
      <w:r>
        <w:rPr>
          <w:rFonts w:hint="eastAsia" w:ascii="宋体" w:hAnsi="宋体" w:eastAsia="宋体" w:cs="Times New Roman"/>
          <w:sz w:val="24"/>
          <w:szCs w:val="22"/>
        </w:rPr>
        <w:t>项目要求：</w:t>
      </w:r>
      <w:r>
        <w:rPr>
          <w:rFonts w:hint="eastAsia" w:ascii="宋体" w:hAnsi="宋体" w:eastAsia="宋体" w:cs="Times New Roman"/>
          <w:sz w:val="24"/>
          <w:szCs w:val="22"/>
          <w:lang w:val="zh-CN"/>
        </w:rPr>
        <w:t>按照国家卫健委相关标准，响应人产品符合这些标准，或响应人具备实施这些标准的实施经验和交付能力，相关标准例如《关于印发医院智慧服务分级评估标准体系（试行）的通知》等的要求；响应人企业在经营范围内投标，且近年来资信良好，履约能力强，没有违法记录。</w:t>
      </w:r>
    </w:p>
    <w:p>
      <w:pPr>
        <w:tabs>
          <w:tab w:val="left" w:pos="0"/>
        </w:tabs>
        <w:spacing w:line="460" w:lineRule="exact"/>
        <w:ind w:firstLine="480" w:firstLineChars="200"/>
        <w:rPr>
          <w:rFonts w:hint="eastAsia" w:ascii="宋体" w:hAnsi="宋体" w:eastAsia="宋体" w:cs="Times New Roman"/>
          <w:sz w:val="24"/>
          <w:szCs w:val="22"/>
          <w:lang w:val="en-US" w:eastAsia="zh-CN"/>
        </w:rPr>
      </w:pPr>
      <w:r>
        <w:rPr>
          <w:rFonts w:hint="eastAsia" w:ascii="宋体" w:hAnsi="宋体" w:eastAsia="宋体" w:cs="Times New Roman"/>
          <w:sz w:val="24"/>
          <w:szCs w:val="22"/>
          <w:lang w:val="en-US" w:eastAsia="zh-CN"/>
        </w:rPr>
        <w:t>3、服务</w:t>
      </w:r>
      <w:r>
        <w:rPr>
          <w:rFonts w:hint="eastAsia" w:ascii="宋体" w:hAnsi="宋体" w:eastAsia="宋体" w:cs="Times New Roman"/>
          <w:sz w:val="24"/>
          <w:szCs w:val="22"/>
          <w:lang w:val="zh-CN"/>
        </w:rPr>
        <w:t>期：</w:t>
      </w:r>
      <w:r>
        <w:rPr>
          <w:rFonts w:hint="eastAsia" w:ascii="宋体" w:hAnsi="宋体" w:eastAsia="宋体" w:cs="Times New Roman"/>
          <w:sz w:val="24"/>
          <w:szCs w:val="22"/>
          <w:lang w:val="en-US" w:eastAsia="zh-CN"/>
        </w:rPr>
        <w:t>合同签订后3个月内完成。</w:t>
      </w:r>
    </w:p>
    <w:p>
      <w:pPr>
        <w:tabs>
          <w:tab w:val="left" w:pos="0"/>
        </w:tabs>
        <w:spacing w:line="460" w:lineRule="exact"/>
        <w:ind w:firstLine="480" w:firstLineChars="200"/>
        <w:rPr>
          <w:rFonts w:hint="eastAsia" w:ascii="宋体" w:hAnsi="宋体" w:eastAsia="宋体" w:cs="Times New Roman"/>
          <w:sz w:val="24"/>
          <w:szCs w:val="22"/>
          <w:highlight w:val="none"/>
          <w:lang w:val="zh-CN"/>
        </w:rPr>
      </w:pPr>
      <w:r>
        <w:rPr>
          <w:rFonts w:hint="eastAsia" w:ascii="宋体" w:hAnsi="宋体" w:eastAsia="宋体" w:cs="Times New Roman"/>
          <w:sz w:val="24"/>
          <w:szCs w:val="22"/>
          <w:highlight w:val="none"/>
          <w:lang w:val="en-US" w:eastAsia="zh-CN"/>
        </w:rPr>
        <w:t>4、</w:t>
      </w:r>
      <w:r>
        <w:rPr>
          <w:rFonts w:hint="eastAsia" w:ascii="宋体" w:hAnsi="宋体" w:eastAsia="宋体" w:cs="Times New Roman"/>
          <w:sz w:val="24"/>
          <w:szCs w:val="22"/>
          <w:highlight w:val="none"/>
          <w:lang w:val="zh-CN"/>
        </w:rPr>
        <w:t>付款方式：</w:t>
      </w:r>
    </w:p>
    <w:p>
      <w:pPr>
        <w:tabs>
          <w:tab w:val="left" w:pos="0"/>
        </w:tabs>
        <w:spacing w:line="460" w:lineRule="exact"/>
        <w:ind w:firstLine="480" w:firstLineChars="200"/>
        <w:rPr>
          <w:rFonts w:hint="eastAsia" w:ascii="宋体" w:hAnsi="宋体" w:eastAsia="宋体" w:cs="Times New Roman"/>
          <w:sz w:val="24"/>
          <w:szCs w:val="22"/>
          <w:lang w:val="zh-CN"/>
        </w:rPr>
      </w:pPr>
      <w:r>
        <w:rPr>
          <w:rFonts w:hint="eastAsia" w:ascii="宋体" w:hAnsi="宋体" w:eastAsia="宋体" w:cs="Times New Roman"/>
          <w:sz w:val="24"/>
          <w:szCs w:val="22"/>
          <w:lang w:val="zh-CN"/>
        </w:rPr>
        <w:t>本合同生效后，采购人在收到</w:t>
      </w:r>
      <w:r>
        <w:rPr>
          <w:rFonts w:hint="eastAsia" w:ascii="宋体" w:hAnsi="宋体" w:eastAsia="宋体" w:cs="Times New Roman"/>
          <w:sz w:val="24"/>
          <w:szCs w:val="22"/>
          <w:lang w:val="en-US" w:eastAsia="zh-CN"/>
        </w:rPr>
        <w:t>成交</w:t>
      </w:r>
      <w:r>
        <w:rPr>
          <w:rFonts w:hint="eastAsia" w:ascii="宋体" w:hAnsi="宋体" w:eastAsia="宋体" w:cs="Times New Roman"/>
          <w:sz w:val="24"/>
          <w:szCs w:val="22"/>
          <w:lang w:val="zh-CN"/>
        </w:rPr>
        <w:t>人开具有效等额发票并提交上财务之日起，10个日历日内采购人向成交人支付合同金额的30%。</w:t>
      </w:r>
    </w:p>
    <w:p>
      <w:pPr>
        <w:tabs>
          <w:tab w:val="left" w:pos="0"/>
        </w:tabs>
        <w:spacing w:line="460" w:lineRule="exact"/>
        <w:ind w:firstLine="480" w:firstLineChars="200"/>
        <w:rPr>
          <w:rFonts w:hint="eastAsia" w:ascii="宋体" w:hAnsi="宋体" w:eastAsia="宋体" w:cs="Times New Roman"/>
          <w:sz w:val="24"/>
          <w:szCs w:val="22"/>
          <w:lang w:val="zh-CN"/>
        </w:rPr>
      </w:pPr>
      <w:r>
        <w:rPr>
          <w:rFonts w:hint="eastAsia" w:ascii="宋体" w:hAnsi="宋体" w:eastAsia="宋体" w:cs="Times New Roman"/>
          <w:sz w:val="24"/>
          <w:szCs w:val="22"/>
          <w:lang w:val="zh-CN"/>
        </w:rPr>
        <w:t>所有系统软件上线（即全部子系统上线安装完成），双方和项目监理签署《系统上线报告》后，采购人收到成交人提交《支付进度款申请》和有效等额发票并提交上财务之日起，10个日历日内向成交人支付合同金额的60%。</w:t>
      </w:r>
    </w:p>
    <w:p>
      <w:pPr>
        <w:tabs>
          <w:tab w:val="left" w:pos="0"/>
        </w:tabs>
        <w:spacing w:line="460" w:lineRule="exact"/>
        <w:ind w:firstLine="480" w:firstLineChars="200"/>
        <w:rPr>
          <w:rFonts w:hint="eastAsia" w:ascii="宋体" w:hAnsi="宋体" w:eastAsia="宋体" w:cs="Times New Roman"/>
          <w:sz w:val="24"/>
          <w:szCs w:val="22"/>
          <w:lang w:val="zh-CN"/>
        </w:rPr>
      </w:pPr>
      <w:r>
        <w:rPr>
          <w:rFonts w:hint="eastAsia" w:ascii="宋体" w:hAnsi="宋体" w:eastAsia="宋体" w:cs="Times New Roman"/>
          <w:sz w:val="24"/>
          <w:szCs w:val="22"/>
          <w:lang w:val="zh-CN"/>
        </w:rPr>
        <w:t>软件系统全部子系统由双方和项目监理签字验收完成之日满壹年之日起10个日历日内，采购人向成交人支付合同金额的10%。</w:t>
      </w:r>
    </w:p>
    <w:p>
      <w:pPr>
        <w:pStyle w:val="2"/>
      </w:pPr>
    </w:p>
    <w:p>
      <w:pPr>
        <w:tabs>
          <w:tab w:val="left" w:pos="0"/>
        </w:tabs>
        <w:spacing w:line="460" w:lineRule="exact"/>
        <w:ind w:firstLine="480" w:firstLineChars="200"/>
        <w:rPr>
          <w:rFonts w:ascii="宋体" w:hAnsi="宋体"/>
          <w:sz w:val="24"/>
          <w:szCs w:val="22"/>
        </w:rPr>
      </w:pPr>
      <w:r>
        <w:rPr>
          <w:rFonts w:hint="eastAsia" w:ascii="宋体" w:hAnsi="宋体"/>
          <w:sz w:val="24"/>
          <w:szCs w:val="22"/>
        </w:rPr>
        <w:t xml:space="preserve"> </w:t>
      </w:r>
      <w:r>
        <w:rPr>
          <w:rFonts w:hint="eastAsia" w:ascii="宋体" w:hAnsi="宋体"/>
          <w:sz w:val="24"/>
          <w:szCs w:val="22"/>
          <w:lang w:val="en-US" w:eastAsia="zh-CN"/>
        </w:rPr>
        <w:t>5</w:t>
      </w:r>
      <w:r>
        <w:rPr>
          <w:rFonts w:hint="eastAsia" w:ascii="宋体" w:hAnsi="宋体"/>
          <w:sz w:val="24"/>
          <w:szCs w:val="22"/>
        </w:rPr>
        <w:t>、磋商文件如果涉及到品牌、型号等，并不表明该标的被指定，响应人所投报的产品只要主要性能达到或超过磋商文件要求，没有重大偏离，都将被视为对磋商文件做出了实质性响应。</w:t>
      </w:r>
    </w:p>
    <w:p>
      <w:pPr>
        <w:spacing w:line="240" w:lineRule="auto"/>
        <w:rPr>
          <w:rFonts w:ascii="仿宋_GB2312" w:eastAsia="仿宋_GB2312"/>
          <w:sz w:val="32"/>
          <w:szCs w:val="32"/>
        </w:rPr>
        <w:sectPr>
          <w:headerReference r:id="rId3" w:type="default"/>
          <w:footerReference r:id="rId4" w:type="default"/>
          <w:footerReference r:id="rId5" w:type="even"/>
          <w:pgSz w:w="11906" w:h="16838"/>
          <w:pgMar w:top="1440" w:right="1080" w:bottom="1440" w:left="1080" w:header="851" w:footer="1361" w:gutter="0"/>
          <w:pgNumType w:fmt="decimal"/>
          <w:cols w:space="720" w:num="1"/>
          <w:docGrid w:linePitch="312" w:charSpace="0"/>
        </w:sectPr>
      </w:pPr>
    </w:p>
    <w:p>
      <w:pPr>
        <w:pStyle w:val="4"/>
        <w:numPr>
          <w:ilvl w:val="0"/>
          <w:numId w:val="0"/>
        </w:numPr>
        <w:ind w:leftChars="0"/>
        <w:jc w:val="left"/>
        <w:rPr>
          <w:rFonts w:hint="eastAsia"/>
          <w:sz w:val="32"/>
          <w:szCs w:val="32"/>
        </w:rPr>
      </w:pPr>
      <w:r>
        <w:rPr>
          <w:rFonts w:hint="eastAsia"/>
          <w:sz w:val="32"/>
          <w:szCs w:val="32"/>
          <w:lang w:val="en-US" w:eastAsia="zh-CN"/>
        </w:rPr>
        <w:t>二、</w:t>
      </w:r>
      <w:r>
        <w:rPr>
          <w:rFonts w:hint="eastAsia"/>
          <w:sz w:val="32"/>
          <w:szCs w:val="32"/>
        </w:rPr>
        <w:t>项目背景</w:t>
      </w:r>
    </w:p>
    <w:p/>
    <w:p>
      <w:pPr>
        <w:spacing w:line="360" w:lineRule="auto"/>
        <w:ind w:firstLine="480"/>
        <w:rPr>
          <w:rFonts w:ascii="宋体" w:hAnsi="宋体" w:eastAsia="宋体"/>
          <w:sz w:val="24"/>
        </w:rPr>
      </w:pPr>
      <w:r>
        <w:rPr>
          <w:rFonts w:hint="eastAsia" w:ascii="宋体" w:hAnsi="宋体" w:eastAsia="宋体"/>
          <w:sz w:val="24"/>
        </w:rPr>
        <w:t>随着经济社会的不断发展，居民对健康生活的需求越来越高，传统的医疗模式已远不能适应新的要求，居民需要更方便、有效、及时、智能的健康服务。与此同时，医疗纠纷恶性突发事件逐年呈上升趋势，卫生行政人员和医务人员的安危已经受到威胁,病人的就诊体验感差，三长一短情况严重，改变势在必行。</w:t>
      </w:r>
    </w:p>
    <w:p>
      <w:pPr>
        <w:spacing w:line="360" w:lineRule="auto"/>
        <w:ind w:firstLine="480"/>
        <w:rPr>
          <w:rFonts w:ascii="宋体" w:hAnsi="宋体" w:eastAsia="宋体"/>
          <w:sz w:val="24"/>
        </w:rPr>
      </w:pPr>
      <w:r>
        <w:rPr>
          <w:rFonts w:hint="eastAsia" w:ascii="宋体" w:hAnsi="宋体" w:eastAsia="宋体"/>
          <w:sz w:val="24"/>
        </w:rPr>
        <w:t>医院面积较大，门诊、急诊、医技的各科室的通行路径比较复杂。在患者大量集中就诊时，经常出现部分患者找不到目的地的情况，患者在寻找目的地的时候，需要不停地寻找医护人员询问，平均一位患者找到目的地往往需要询问3-5次。医护人员每天都要多次重复回答问路和流程的问题，付出了相当大的服务成本，同时增加了制造医患矛盾的风险。</w:t>
      </w:r>
    </w:p>
    <w:p>
      <w:pPr>
        <w:spacing w:line="360" w:lineRule="auto"/>
        <w:ind w:firstLine="480"/>
        <w:rPr>
          <w:rFonts w:hint="eastAsia" w:ascii="宋体" w:hAnsi="宋体" w:eastAsia="宋体" w:cs="AdobeHeitiStd-Regular"/>
          <w:kern w:val="0"/>
          <w:sz w:val="24"/>
          <w:szCs w:val="19"/>
          <w:lang w:eastAsia="zh-CN"/>
        </w:rPr>
      </w:pPr>
      <w:r>
        <w:rPr>
          <w:rFonts w:hint="eastAsia" w:ascii="宋体" w:hAnsi="宋体" w:eastAsia="宋体" w:cs="AdobeHeitiStd-Regular"/>
          <w:kern w:val="0"/>
          <w:sz w:val="24"/>
          <w:szCs w:val="19"/>
        </w:rPr>
        <w:t>为优化业务流程、提高患者就医满意度，通过采用智能导航患者服务平台系统，并与医院信息系统进行无缝对接，通过采集医院地图数据，部署蓝牙定位设备及人脸识别导诊大屏设备，以及线下服务平台二维码物料，开发室内地图服务平台来实现院内导航。地图数据提供支撑数据，蓝牙定位设备提供定位基础，移动应用、人脸识别导诊大屏设备为患者服务窗口。实现完整的患者诊中服务平台建设</w:t>
      </w:r>
      <w:r>
        <w:rPr>
          <w:rFonts w:hint="eastAsia" w:ascii="宋体" w:hAnsi="宋体" w:eastAsia="宋体" w:cs="AdobeHeitiStd-Regular"/>
          <w:kern w:val="0"/>
          <w:sz w:val="24"/>
          <w:szCs w:val="19"/>
          <w:lang w:eastAsia="zh-CN"/>
        </w:rPr>
        <w:t>。</w:t>
      </w:r>
    </w:p>
    <w:p>
      <w:pPr>
        <w:spacing w:line="360" w:lineRule="auto"/>
        <w:ind w:firstLine="480"/>
        <w:rPr>
          <w:rFonts w:ascii="宋体" w:hAnsi="宋体" w:eastAsia="宋体" w:cs="AdobeHeitiStd-Regular"/>
          <w:kern w:val="0"/>
          <w:sz w:val="24"/>
          <w:szCs w:val="19"/>
        </w:rPr>
      </w:pPr>
      <w:r>
        <w:rPr>
          <w:rFonts w:hint="eastAsia" w:ascii="宋体" w:hAnsi="宋体" w:eastAsia="宋体" w:cs="AdobeHeitiStd-Regular"/>
          <w:kern w:val="0"/>
          <w:sz w:val="24"/>
          <w:szCs w:val="19"/>
        </w:rPr>
        <w:t>患者及家属可方便、清晰的了解医院信息，为患者及家属提供贴心的服务，提高就诊中的到达效率，缩短就医时间。医院可以延伸医院服务窗口，通过互联网提升医院形象。可以有效疏导及分流，维持门诊秩序，缓解公共设施忙闲不均。可以搭建医患沟通桥梁，提高门诊满意度，可以有效降低医院导医投入，是全院资源服务患者发展的客观进程，也是现代化综合医院的必然要求。</w:t>
      </w:r>
    </w:p>
    <w:p>
      <w:pPr>
        <w:widowControl/>
        <w:jc w:val="left"/>
        <w:rPr>
          <w:rFonts w:ascii="宋体" w:hAnsi="宋体" w:eastAsia="宋体"/>
          <w:sz w:val="24"/>
        </w:rPr>
      </w:pPr>
      <w:r>
        <w:rPr>
          <w:rFonts w:ascii="宋体" w:hAnsi="宋体" w:eastAsia="宋体"/>
          <w:sz w:val="24"/>
        </w:rPr>
        <w:br w:type="page"/>
      </w:r>
    </w:p>
    <w:p>
      <w:pPr>
        <w:pStyle w:val="4"/>
        <w:ind w:left="0" w:leftChars="0" w:firstLine="0" w:firstLineChars="0"/>
        <w:jc w:val="both"/>
        <w:rPr>
          <w:sz w:val="28"/>
          <w:szCs w:val="28"/>
        </w:rPr>
      </w:pPr>
      <w:r>
        <w:rPr>
          <w:rFonts w:hint="eastAsia"/>
          <w:sz w:val="28"/>
          <w:szCs w:val="28"/>
          <w:lang w:val="en-US" w:eastAsia="zh-CN"/>
        </w:rPr>
        <w:t>三、</w:t>
      </w:r>
      <w:r>
        <w:rPr>
          <w:rFonts w:hint="eastAsia"/>
          <w:sz w:val="28"/>
          <w:szCs w:val="28"/>
        </w:rPr>
        <w:t>项目总体要求</w:t>
      </w:r>
    </w:p>
    <w:p>
      <w:pPr>
        <w:spacing w:line="360" w:lineRule="auto"/>
        <w:ind w:firstLine="480"/>
        <w:rPr>
          <w:rFonts w:ascii="宋体" w:hAnsi="宋体" w:eastAsia="宋体" w:cs="微软雅黑"/>
          <w:sz w:val="24"/>
        </w:rPr>
      </w:pPr>
      <w:r>
        <w:rPr>
          <w:rFonts w:hint="eastAsia" w:ascii="宋体" w:hAnsi="宋体" w:eastAsia="宋体" w:cs="微软雅黑"/>
          <w:sz w:val="24"/>
        </w:rPr>
        <w:t>为贯彻落实深化医药卫生体制改革和公立医院服务管理模式的创新改革，以改善人民群众看病就医感受为出发点，推进便民就诊服务，有效分流检查患者，进一步改善医疗服务行动计划、医院等级评审等文件都对医院的智能导诊提出了具体的时间计划和要求，201</w:t>
      </w:r>
      <w:r>
        <w:rPr>
          <w:rFonts w:ascii="宋体" w:hAnsi="宋体" w:eastAsia="宋体" w:cs="微软雅黑"/>
          <w:sz w:val="24"/>
        </w:rPr>
        <w:t>8</w:t>
      </w:r>
      <w:r>
        <w:rPr>
          <w:rFonts w:hint="eastAsia" w:ascii="宋体" w:hAnsi="宋体" w:eastAsia="宋体" w:cs="微软雅黑"/>
          <w:sz w:val="24"/>
        </w:rPr>
        <w:t>年起国家卫计委将在所有三级医院以便民服务为基础，重点推行患者诊中服务，解决患者在院内寻路难、不清楚就诊流程的疑难问题，提高患者就诊体验，降低医患矛盾风险。</w:t>
      </w:r>
    </w:p>
    <w:p>
      <w:pPr>
        <w:spacing w:line="360" w:lineRule="auto"/>
        <w:ind w:firstLine="480"/>
        <w:rPr>
          <w:rFonts w:ascii="宋体" w:hAnsi="宋体" w:eastAsia="宋体" w:cs="微软雅黑"/>
          <w:sz w:val="24"/>
        </w:rPr>
      </w:pPr>
      <w:r>
        <w:rPr>
          <w:rFonts w:hint="eastAsia" w:ascii="宋体" w:hAnsi="宋体" w:eastAsia="宋体"/>
          <w:sz w:val="24"/>
        </w:rPr>
        <w:t>本次项目建设</w:t>
      </w:r>
      <w:r>
        <w:rPr>
          <w:rFonts w:ascii="宋体" w:hAnsi="宋体" w:eastAsia="宋体"/>
          <w:sz w:val="24"/>
        </w:rPr>
        <w:t>基于</w:t>
      </w:r>
      <w:r>
        <w:rPr>
          <w:rFonts w:hint="eastAsia" w:ascii="宋体" w:hAnsi="宋体" w:eastAsia="宋体"/>
          <w:sz w:val="24"/>
        </w:rPr>
        <w:t>医院的人流量巨大、指引标识等不甚清晰</w:t>
      </w:r>
      <w:r>
        <w:rPr>
          <w:rFonts w:ascii="宋体" w:hAnsi="宋体" w:eastAsia="宋体"/>
          <w:sz w:val="24"/>
        </w:rPr>
        <w:t>的现状，</w:t>
      </w:r>
      <w:r>
        <w:rPr>
          <w:rFonts w:hint="eastAsia" w:ascii="宋体" w:hAnsi="宋体" w:eastAsia="宋体"/>
          <w:sz w:val="24"/>
        </w:rPr>
        <w:t>对</w:t>
      </w:r>
      <w:r>
        <w:rPr>
          <w:rFonts w:ascii="宋体" w:hAnsi="宋体" w:eastAsia="宋体"/>
          <w:sz w:val="24"/>
        </w:rPr>
        <w:t>传统的</w:t>
      </w:r>
      <w:r>
        <w:rPr>
          <w:rFonts w:hint="eastAsia" w:ascii="宋体" w:hAnsi="宋体" w:eastAsia="宋体"/>
          <w:sz w:val="24"/>
        </w:rPr>
        <w:t>静态指引标识</w:t>
      </w:r>
      <w:r>
        <w:rPr>
          <w:rFonts w:ascii="宋体" w:hAnsi="宋体" w:eastAsia="宋体"/>
          <w:sz w:val="24"/>
        </w:rPr>
        <w:t>模式</w:t>
      </w:r>
      <w:r>
        <w:rPr>
          <w:rFonts w:hint="eastAsia" w:ascii="宋体" w:hAnsi="宋体" w:eastAsia="宋体"/>
          <w:sz w:val="24"/>
        </w:rPr>
        <w:t>进</w:t>
      </w:r>
      <w:r>
        <w:rPr>
          <w:rFonts w:ascii="宋体" w:hAnsi="宋体" w:eastAsia="宋体"/>
          <w:sz w:val="24"/>
        </w:rPr>
        <w:t>行了改革</w:t>
      </w:r>
      <w:r>
        <w:rPr>
          <w:rFonts w:hint="eastAsia" w:ascii="宋体" w:hAnsi="宋体" w:eastAsia="宋体"/>
          <w:sz w:val="24"/>
        </w:rPr>
        <w:t>，同时</w:t>
      </w:r>
      <w:r>
        <w:rPr>
          <w:rFonts w:ascii="宋体" w:hAnsi="宋体" w:eastAsia="宋体"/>
          <w:sz w:val="24"/>
        </w:rPr>
        <w:t>也把移动互联</w:t>
      </w:r>
      <w:r>
        <w:rPr>
          <w:rFonts w:hint="eastAsia" w:ascii="宋体" w:hAnsi="宋体" w:eastAsia="宋体"/>
          <w:sz w:val="24"/>
        </w:rPr>
        <w:t>网</w:t>
      </w:r>
      <w:r>
        <w:rPr>
          <w:rFonts w:ascii="宋体" w:hAnsi="宋体" w:eastAsia="宋体"/>
          <w:sz w:val="24"/>
        </w:rPr>
        <w:t>、云计算</w:t>
      </w:r>
      <w:r>
        <w:rPr>
          <w:rFonts w:hint="eastAsia" w:ascii="宋体" w:hAnsi="宋体" w:eastAsia="宋体"/>
          <w:sz w:val="24"/>
        </w:rPr>
        <w:t>技术、AI智能技术等创新</w:t>
      </w:r>
      <w:r>
        <w:rPr>
          <w:rFonts w:ascii="宋体" w:hAnsi="宋体" w:eastAsia="宋体"/>
          <w:sz w:val="24"/>
        </w:rPr>
        <w:t>技术引</w:t>
      </w:r>
      <w:r>
        <w:rPr>
          <w:rFonts w:hint="eastAsia" w:ascii="宋体" w:hAnsi="宋体" w:eastAsia="宋体"/>
          <w:sz w:val="24"/>
        </w:rPr>
        <w:t>入医院就医</w:t>
      </w:r>
      <w:r>
        <w:rPr>
          <w:rFonts w:ascii="宋体" w:hAnsi="宋体" w:eastAsia="宋体"/>
          <w:sz w:val="24"/>
        </w:rPr>
        <w:t>导诊领域</w:t>
      </w:r>
      <w:r>
        <w:rPr>
          <w:rFonts w:hint="eastAsia" w:ascii="宋体" w:hAnsi="宋体" w:eastAsia="宋体"/>
          <w:sz w:val="24"/>
        </w:rPr>
        <w:t>，创新</w:t>
      </w:r>
      <w:r>
        <w:rPr>
          <w:rFonts w:ascii="宋体" w:hAnsi="宋体" w:eastAsia="宋体"/>
          <w:sz w:val="24"/>
        </w:rPr>
        <w:t>提出了院内智能导诊模式</w:t>
      </w:r>
      <w:r>
        <w:rPr>
          <w:rFonts w:hint="eastAsia" w:ascii="宋体" w:hAnsi="宋体" w:eastAsia="宋体"/>
          <w:sz w:val="24"/>
        </w:rPr>
        <w:t>，</w:t>
      </w:r>
      <w:r>
        <w:rPr>
          <w:rFonts w:hint="eastAsia" w:ascii="宋体" w:hAnsi="宋体" w:eastAsia="宋体" w:cs="微软雅黑"/>
          <w:sz w:val="24"/>
        </w:rPr>
        <w:t>以“解决患者寻路指引问题、解决患者就诊流程问题，”为目标，合理定制以患者为中心的，以患者需求为目的地的智能导航患者服务平台系统给患者使用。</w:t>
      </w:r>
    </w:p>
    <w:p>
      <w:pPr>
        <w:spacing w:line="360" w:lineRule="auto"/>
        <w:ind w:firstLine="480" w:firstLineChars="200"/>
        <w:rPr>
          <w:rFonts w:ascii="HannotateSC-W5" w:eastAsia="HannotateSC-W5" w:cs="HannotateSC-W5"/>
          <w:kern w:val="0"/>
          <w:sz w:val="24"/>
          <w:szCs w:val="24"/>
        </w:rPr>
      </w:pPr>
      <w:r>
        <w:rPr>
          <w:rFonts w:hint="eastAsia" w:ascii="宋体" w:hAnsi="宋体" w:eastAsia="宋体" w:cs="微软雅黑"/>
          <w:sz w:val="24"/>
        </w:rPr>
        <w:t>智能导航患者服务平台系统通过高精度电子地图、移动端智能导诊系统、人脸识别导诊大屏、线下就诊引导二维码、就诊全流程指引，使得</w:t>
      </w:r>
      <w:r>
        <w:rPr>
          <w:rFonts w:hint="eastAsia" w:ascii="HannotateSC-W5" w:eastAsia="HannotateSC-W5" w:cs="HannotateSC-W5"/>
          <w:kern w:val="0"/>
          <w:sz w:val="24"/>
          <w:szCs w:val="24"/>
        </w:rPr>
        <w:t>患者及家属可以更加方便、直观、清晰的了解医院信息，为患者及家属提供贴心的服务，提高就诊中的到达效率，缩短就医时间，有效疏导及分流，维持门诊秩序，缓解公共设施忙闲不均，搭建医患沟通桥梁，降低医院导医投入，提高门诊满意度。</w:t>
      </w:r>
    </w:p>
    <w:p>
      <w:pPr>
        <w:spacing w:line="360" w:lineRule="auto"/>
        <w:ind w:firstLine="480" w:firstLineChars="200"/>
        <w:rPr>
          <w:rFonts w:ascii="宋体" w:hAnsi="宋体" w:eastAsia="宋体" w:cs="微软雅黑"/>
          <w:sz w:val="24"/>
        </w:rPr>
      </w:pPr>
      <w:r>
        <w:rPr>
          <w:rFonts w:hint="eastAsia" w:ascii="HannotateSC-W5" w:eastAsia="HannotateSC-W5" w:cs="HannotateSC-W5"/>
          <w:kern w:val="0"/>
          <w:sz w:val="24"/>
          <w:szCs w:val="24"/>
        </w:rPr>
        <w:t>具体部分项目建设功能如下：</w:t>
      </w:r>
    </w:p>
    <w:p>
      <w:pPr>
        <w:spacing w:line="360" w:lineRule="auto"/>
        <w:ind w:firstLine="480"/>
        <w:rPr>
          <w:rFonts w:ascii="宋体" w:hAnsi="宋体" w:eastAsia="宋体" w:cs="微软雅黑"/>
          <w:sz w:val="24"/>
        </w:rPr>
      </w:pPr>
      <w:r>
        <w:rPr>
          <w:rFonts w:hint="eastAsia" w:ascii="宋体" w:hAnsi="宋体" w:eastAsia="宋体" w:cs="微软雅黑"/>
          <w:sz w:val="24"/>
        </w:rPr>
        <w:t>1. 对</w:t>
      </w:r>
      <w:r>
        <w:rPr>
          <w:rFonts w:hint="eastAsia" w:ascii="HannotateSC-W5" w:eastAsia="HannotateSC-W5" w:cs="HannotateSC-W5"/>
          <w:kern w:val="0"/>
          <w:sz w:val="24"/>
          <w:szCs w:val="24"/>
          <w:lang w:eastAsia="zh-CN"/>
        </w:rPr>
        <w:t>临沂市妇幼保健院</w:t>
      </w:r>
      <w:r>
        <w:rPr>
          <w:rFonts w:hint="eastAsia" w:ascii="宋体" w:hAnsi="宋体" w:eastAsia="宋体" w:cs="微软雅黑"/>
          <w:sz w:val="24"/>
        </w:rPr>
        <w:t>进行智能导航患者服务平台系统建设，为院内患者人流密集、科室繁杂区域进行系统建设，具体导航区域范围等实际情况请自行前往勘查。</w:t>
      </w:r>
    </w:p>
    <w:p>
      <w:pPr>
        <w:spacing w:line="360" w:lineRule="auto"/>
        <w:ind w:firstLine="480"/>
        <w:rPr>
          <w:rFonts w:ascii="宋体" w:hAnsi="宋体" w:eastAsia="宋体" w:cs="微软雅黑"/>
          <w:sz w:val="24"/>
        </w:rPr>
      </w:pPr>
      <w:r>
        <w:rPr>
          <w:rFonts w:hint="eastAsia" w:ascii="宋体" w:hAnsi="宋体" w:eastAsia="宋体" w:cs="微软雅黑"/>
          <w:sz w:val="24"/>
        </w:rPr>
        <w:t>2. 医院APP或微信公众号需要调用患者诊疗过程中医院科室的位置名称，并结合医院信息系统中的看病流程，对接动态就诊信息。</w:t>
      </w:r>
    </w:p>
    <w:p>
      <w:pPr>
        <w:spacing w:line="360" w:lineRule="auto"/>
        <w:ind w:firstLine="480"/>
        <w:rPr>
          <w:rFonts w:ascii="宋体" w:hAnsi="宋体" w:eastAsia="宋体" w:cs="微软雅黑"/>
          <w:sz w:val="24"/>
        </w:rPr>
      </w:pPr>
      <w:r>
        <w:rPr>
          <w:rFonts w:hint="eastAsia" w:ascii="宋体" w:hAnsi="宋体" w:eastAsia="宋体" w:cs="微软雅黑"/>
          <w:sz w:val="24"/>
        </w:rPr>
        <w:t>3. 针对患者提供基于位置服务医院APP或微信公众号，患者使用此APP或公众号后，在所有涉及到位置的就医流程点时，都可调用导航功能将患者准确地导引到下一个流程点的位置，患者也可主动查询热点地址，位置分享，观看模拟导航，实时定位导航等。</w:t>
      </w:r>
    </w:p>
    <w:p>
      <w:pPr>
        <w:spacing w:line="360" w:lineRule="auto"/>
        <w:ind w:firstLine="480"/>
        <w:rPr>
          <w:rFonts w:ascii="宋体" w:hAnsi="宋体" w:eastAsia="宋体" w:cs="宋体"/>
          <w:color w:val="000000"/>
          <w:kern w:val="0"/>
          <w:sz w:val="24"/>
          <w:szCs w:val="24"/>
        </w:rPr>
      </w:pPr>
      <w:r>
        <w:rPr>
          <w:rFonts w:hint="eastAsia" w:ascii="宋体" w:hAnsi="宋体" w:eastAsia="宋体" w:cs="微软雅黑"/>
          <w:sz w:val="24"/>
        </w:rPr>
        <w:t>4. 提供智能人脸识别导诊大屏，可以在大屏上查看院内地图，查找所有POI地址，在大屏上查看目的地模拟导航，可扫描目的地二维码后切换到智能手机进行手机实时动态院内导航，即查即扫即导航。</w:t>
      </w:r>
    </w:p>
    <w:p>
      <w:pPr>
        <w:spacing w:line="360" w:lineRule="auto"/>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根据总体规划，采购人拟采购一套智能导诊系统。</w:t>
      </w:r>
    </w:p>
    <w:p>
      <w:pPr>
        <w:spacing w:line="360" w:lineRule="auto"/>
        <w:ind w:firstLine="480"/>
        <w:rPr>
          <w:rFonts w:ascii="宋体" w:hAnsi="宋体" w:eastAsia="宋体" w:cs="微软雅黑"/>
          <w:sz w:val="24"/>
        </w:rPr>
      </w:pPr>
    </w:p>
    <w:tbl>
      <w:tblPr>
        <w:tblStyle w:val="5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301"/>
        <w:gridCol w:w="660"/>
        <w:gridCol w:w="3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5" w:type="dxa"/>
            <w:vAlign w:val="center"/>
          </w:tcPr>
          <w:p>
            <w:pPr>
              <w:spacing w:before="156" w:beforeLines="50" w:after="156" w:afterLines="50" w:line="360" w:lineRule="auto"/>
              <w:jc w:val="center"/>
              <w:rPr>
                <w:rFonts w:ascii="宋体" w:hAnsi="Calibri" w:eastAsia="宋体" w:cs="Times New Roman"/>
                <w:b/>
                <w:sz w:val="24"/>
                <w:szCs w:val="24"/>
              </w:rPr>
            </w:pPr>
            <w:r>
              <w:rPr>
                <w:rFonts w:hint="eastAsia" w:ascii="宋体" w:hAnsi="宋体" w:eastAsia="宋体" w:cs="Times New Roman"/>
                <w:b/>
                <w:sz w:val="24"/>
                <w:szCs w:val="24"/>
              </w:rPr>
              <w:t>序号</w:t>
            </w:r>
          </w:p>
        </w:tc>
        <w:tc>
          <w:tcPr>
            <w:tcW w:w="3301" w:type="dxa"/>
            <w:vAlign w:val="center"/>
          </w:tcPr>
          <w:p>
            <w:pPr>
              <w:spacing w:before="156" w:beforeLines="50" w:after="156" w:afterLines="50" w:line="360" w:lineRule="auto"/>
              <w:jc w:val="center"/>
              <w:rPr>
                <w:rFonts w:ascii="宋体" w:hAnsi="Calibri" w:eastAsia="宋体" w:cs="Times New Roman"/>
                <w:b/>
                <w:sz w:val="24"/>
                <w:szCs w:val="24"/>
              </w:rPr>
            </w:pPr>
            <w:r>
              <w:rPr>
                <w:rFonts w:hint="eastAsia" w:ascii="宋体" w:hAnsi="宋体" w:eastAsia="宋体" w:cs="Times New Roman"/>
                <w:b/>
                <w:sz w:val="24"/>
                <w:szCs w:val="24"/>
              </w:rPr>
              <w:t>建设内容</w:t>
            </w:r>
          </w:p>
        </w:tc>
        <w:tc>
          <w:tcPr>
            <w:tcW w:w="660" w:type="dxa"/>
            <w:vAlign w:val="center"/>
          </w:tcPr>
          <w:p>
            <w:pPr>
              <w:spacing w:before="156" w:beforeLines="50" w:after="156" w:afterLines="50" w:line="360" w:lineRule="auto"/>
              <w:jc w:val="center"/>
              <w:rPr>
                <w:rFonts w:ascii="宋体" w:hAnsi="Calibri" w:eastAsia="宋体" w:cs="Times New Roman"/>
                <w:b/>
                <w:sz w:val="24"/>
                <w:szCs w:val="24"/>
              </w:rPr>
            </w:pPr>
            <w:r>
              <w:rPr>
                <w:rFonts w:hint="eastAsia" w:ascii="宋体" w:hAnsi="宋体" w:eastAsia="宋体" w:cs="Times New Roman"/>
                <w:b/>
                <w:sz w:val="24"/>
                <w:szCs w:val="24"/>
              </w:rPr>
              <w:t>数量</w:t>
            </w:r>
          </w:p>
        </w:tc>
        <w:tc>
          <w:tcPr>
            <w:tcW w:w="3815" w:type="dxa"/>
            <w:vAlign w:val="center"/>
          </w:tcPr>
          <w:p>
            <w:pPr>
              <w:spacing w:before="156" w:beforeLines="50" w:after="156" w:afterLines="50" w:line="360" w:lineRule="auto"/>
              <w:jc w:val="center"/>
              <w:rPr>
                <w:rFonts w:ascii="宋体" w:hAnsi="Calibri" w:eastAsia="宋体" w:cs="Times New Roman"/>
                <w:b/>
                <w:sz w:val="24"/>
                <w:szCs w:val="24"/>
              </w:rPr>
            </w:pPr>
            <w:r>
              <w:rPr>
                <w:rFonts w:hint="eastAsia" w:ascii="宋体" w:hAnsi="宋体" w:eastAsia="宋体" w:cs="Times New Roman"/>
                <w:b/>
                <w:sz w:val="24"/>
                <w:szCs w:val="24"/>
              </w:rPr>
              <w:t>工作范围和要求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5" w:type="dxa"/>
            <w:vAlign w:val="center"/>
          </w:tcPr>
          <w:p>
            <w:pPr>
              <w:spacing w:before="156" w:beforeLines="50" w:after="156" w:afterLines="50" w:line="360" w:lineRule="auto"/>
              <w:jc w:val="center"/>
              <w:rPr>
                <w:rFonts w:ascii="宋体" w:hAnsi="宋体" w:eastAsia="宋体" w:cs="Times New Roman"/>
                <w:b/>
                <w:sz w:val="24"/>
                <w:szCs w:val="24"/>
              </w:rPr>
            </w:pPr>
            <w:r>
              <w:rPr>
                <w:rFonts w:hint="eastAsia" w:ascii="宋体" w:hAnsi="宋体" w:eastAsia="宋体" w:cs="Times New Roman"/>
                <w:b/>
                <w:sz w:val="24"/>
                <w:szCs w:val="24"/>
              </w:rPr>
              <w:t>1</w:t>
            </w:r>
          </w:p>
        </w:tc>
        <w:tc>
          <w:tcPr>
            <w:tcW w:w="3301" w:type="dxa"/>
            <w:vAlign w:val="center"/>
          </w:tcPr>
          <w:p>
            <w:pPr>
              <w:spacing w:before="156" w:beforeLines="50" w:after="156" w:afterLines="50" w:line="360" w:lineRule="auto"/>
              <w:jc w:val="center"/>
              <w:rPr>
                <w:rFonts w:ascii="宋体" w:hAnsi="Calibri" w:eastAsia="宋体" w:cs="Times New Roman"/>
                <w:sz w:val="24"/>
                <w:szCs w:val="24"/>
              </w:rPr>
            </w:pPr>
            <w:r>
              <w:rPr>
                <w:rFonts w:hint="eastAsia" w:ascii="宋体" w:hAnsi="宋体" w:eastAsia="宋体" w:cs="Times New Roman"/>
                <w:sz w:val="24"/>
                <w:szCs w:val="24"/>
              </w:rPr>
              <w:t>院内智能导航应用</w:t>
            </w:r>
          </w:p>
        </w:tc>
        <w:tc>
          <w:tcPr>
            <w:tcW w:w="660" w:type="dxa"/>
            <w:vAlign w:val="center"/>
          </w:tcPr>
          <w:p>
            <w:pPr>
              <w:spacing w:before="156" w:beforeLines="50" w:after="156" w:afterLines="50" w:line="360" w:lineRule="auto"/>
              <w:jc w:val="center"/>
              <w:rPr>
                <w:rFonts w:ascii="宋体" w:hAnsi="Calibri"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套</w:t>
            </w:r>
          </w:p>
        </w:tc>
        <w:tc>
          <w:tcPr>
            <w:tcW w:w="3815" w:type="dxa"/>
          </w:tcPr>
          <w:p>
            <w:pPr>
              <w:spacing w:before="156" w:beforeLines="50" w:after="156" w:afterLines="50" w:line="360" w:lineRule="auto"/>
              <w:jc w:val="center"/>
              <w:rPr>
                <w:rFonts w:ascii="宋体" w:hAnsi="Calibri" w:eastAsia="宋体" w:cs="Times New Roman"/>
                <w:sz w:val="24"/>
                <w:szCs w:val="24"/>
              </w:rPr>
            </w:pPr>
            <w:r>
              <w:rPr>
                <w:rFonts w:hint="eastAsia" w:ascii="宋体" w:hAnsi="宋体" w:eastAsia="宋体" w:cs="Times New Roman"/>
                <w:sz w:val="24"/>
                <w:szCs w:val="24"/>
              </w:rPr>
              <w:t>详见详细功能要求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5" w:type="dxa"/>
            <w:vAlign w:val="center"/>
          </w:tcPr>
          <w:p>
            <w:pPr>
              <w:spacing w:before="156" w:beforeLines="50" w:after="156" w:afterLines="50" w:line="360" w:lineRule="auto"/>
              <w:jc w:val="center"/>
              <w:rPr>
                <w:rFonts w:ascii="宋体" w:hAnsi="宋体" w:eastAsia="宋体" w:cs="Times New Roman"/>
                <w:b/>
                <w:sz w:val="24"/>
                <w:szCs w:val="24"/>
              </w:rPr>
            </w:pPr>
            <w:r>
              <w:rPr>
                <w:rFonts w:hint="eastAsia" w:ascii="宋体" w:hAnsi="宋体" w:eastAsia="宋体" w:cs="Times New Roman"/>
                <w:b/>
                <w:sz w:val="24"/>
                <w:szCs w:val="24"/>
              </w:rPr>
              <w:t>2</w:t>
            </w:r>
          </w:p>
        </w:tc>
        <w:tc>
          <w:tcPr>
            <w:tcW w:w="3301" w:type="dxa"/>
            <w:vAlign w:val="center"/>
          </w:tcPr>
          <w:p>
            <w:pPr>
              <w:spacing w:before="156" w:beforeLines="50" w:after="156" w:afterLines="50" w:line="360" w:lineRule="auto"/>
              <w:jc w:val="center"/>
              <w:rPr>
                <w:rFonts w:ascii="宋体" w:hAnsi="Calibri" w:eastAsia="宋体" w:cs="Times New Roman"/>
                <w:sz w:val="24"/>
                <w:szCs w:val="24"/>
              </w:rPr>
            </w:pPr>
            <w:r>
              <w:rPr>
                <w:rFonts w:hint="eastAsia" w:ascii="宋体" w:hAnsi="Calibri" w:eastAsia="宋体" w:cs="Times New Roman"/>
                <w:sz w:val="24"/>
                <w:szCs w:val="24"/>
              </w:rPr>
              <w:t>院内智能陪诊系统</w:t>
            </w:r>
          </w:p>
        </w:tc>
        <w:tc>
          <w:tcPr>
            <w:tcW w:w="660" w:type="dxa"/>
            <w:vAlign w:val="center"/>
          </w:tcPr>
          <w:p>
            <w:pPr>
              <w:spacing w:before="156" w:beforeLines="50" w:after="156" w:afterLines="50" w:line="360" w:lineRule="auto"/>
              <w:jc w:val="center"/>
              <w:rPr>
                <w:rFonts w:ascii="宋体" w:hAnsi="Calibri"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套</w:t>
            </w:r>
          </w:p>
        </w:tc>
        <w:tc>
          <w:tcPr>
            <w:tcW w:w="3815" w:type="dxa"/>
          </w:tcPr>
          <w:p>
            <w:pPr>
              <w:spacing w:before="156" w:beforeLines="50" w:after="156" w:afterLines="50" w:line="360" w:lineRule="auto"/>
              <w:jc w:val="center"/>
              <w:rPr>
                <w:rFonts w:ascii="宋体" w:hAnsi="Calibri" w:eastAsia="宋体" w:cs="Times New Roman"/>
                <w:sz w:val="24"/>
                <w:szCs w:val="24"/>
              </w:rPr>
            </w:pPr>
            <w:r>
              <w:rPr>
                <w:rFonts w:hint="eastAsia" w:ascii="宋体" w:hAnsi="宋体" w:eastAsia="宋体" w:cs="Times New Roman"/>
                <w:sz w:val="24"/>
                <w:szCs w:val="24"/>
              </w:rPr>
              <w:t>详见详细功能要求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5" w:type="dxa"/>
            <w:vAlign w:val="center"/>
          </w:tcPr>
          <w:p>
            <w:pPr>
              <w:spacing w:before="156" w:beforeLines="50" w:after="156" w:afterLines="50" w:line="360" w:lineRule="auto"/>
              <w:jc w:val="center"/>
              <w:rPr>
                <w:rFonts w:ascii="宋体" w:hAnsi="宋体" w:eastAsia="宋体" w:cs="Times New Roman"/>
                <w:b/>
                <w:sz w:val="24"/>
                <w:szCs w:val="24"/>
              </w:rPr>
            </w:pPr>
            <w:r>
              <w:rPr>
                <w:rFonts w:hint="eastAsia" w:ascii="宋体" w:hAnsi="宋体" w:eastAsia="宋体" w:cs="Times New Roman"/>
                <w:b/>
                <w:sz w:val="24"/>
                <w:szCs w:val="24"/>
              </w:rPr>
              <w:t>3</w:t>
            </w:r>
          </w:p>
        </w:tc>
        <w:tc>
          <w:tcPr>
            <w:tcW w:w="3301" w:type="dxa"/>
            <w:vAlign w:val="center"/>
          </w:tcPr>
          <w:p>
            <w:pPr>
              <w:spacing w:before="156" w:beforeLines="50" w:after="156" w:afterLines="50" w:line="360" w:lineRule="auto"/>
              <w:jc w:val="center"/>
              <w:rPr>
                <w:rFonts w:ascii="宋体" w:hAnsi="宋体" w:eastAsia="宋体" w:cs="Times New Roman"/>
                <w:sz w:val="24"/>
                <w:szCs w:val="24"/>
              </w:rPr>
            </w:pPr>
            <w:r>
              <w:rPr>
                <w:rFonts w:hint="eastAsia" w:ascii="宋体" w:hAnsi="宋体" w:eastAsia="宋体" w:cs="Times New Roman"/>
                <w:sz w:val="24"/>
                <w:szCs w:val="24"/>
              </w:rPr>
              <w:t>智能二维码标识系统</w:t>
            </w:r>
          </w:p>
        </w:tc>
        <w:tc>
          <w:tcPr>
            <w:tcW w:w="660" w:type="dxa"/>
            <w:vAlign w:val="center"/>
          </w:tcPr>
          <w:p>
            <w:pPr>
              <w:spacing w:before="156" w:beforeLines="50" w:after="156" w:afterLines="50" w:line="360" w:lineRule="auto"/>
              <w:jc w:val="center"/>
              <w:rPr>
                <w:rFonts w:ascii="宋体" w:hAnsi="宋体" w:eastAsia="宋体" w:cs="Times New Roman"/>
                <w:sz w:val="24"/>
                <w:szCs w:val="24"/>
              </w:rPr>
            </w:pPr>
            <w:r>
              <w:rPr>
                <w:rFonts w:hint="eastAsia" w:ascii="宋体" w:hAnsi="宋体" w:eastAsia="宋体" w:cs="Times New Roman"/>
                <w:sz w:val="24"/>
                <w:szCs w:val="24"/>
              </w:rPr>
              <w:t>1套</w:t>
            </w:r>
          </w:p>
        </w:tc>
        <w:tc>
          <w:tcPr>
            <w:tcW w:w="3815" w:type="dxa"/>
          </w:tcPr>
          <w:p>
            <w:pPr>
              <w:spacing w:before="156" w:beforeLines="50" w:after="156" w:afterLines="50" w:line="360" w:lineRule="auto"/>
              <w:jc w:val="center"/>
              <w:rPr>
                <w:rFonts w:ascii="宋体" w:hAnsi="宋体" w:eastAsia="宋体" w:cs="Times New Roman"/>
                <w:sz w:val="24"/>
                <w:szCs w:val="24"/>
              </w:rPr>
            </w:pPr>
            <w:r>
              <w:rPr>
                <w:rFonts w:hint="eastAsia" w:ascii="宋体" w:hAnsi="宋体" w:eastAsia="宋体" w:cs="Times New Roman"/>
                <w:sz w:val="24"/>
                <w:szCs w:val="24"/>
              </w:rPr>
              <w:t>详见详细功能要求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5" w:type="dxa"/>
            <w:vAlign w:val="center"/>
          </w:tcPr>
          <w:p>
            <w:pPr>
              <w:spacing w:before="156" w:beforeLines="50" w:after="156" w:afterLines="50" w:line="360" w:lineRule="auto"/>
              <w:jc w:val="center"/>
              <w:rPr>
                <w:rFonts w:ascii="宋体" w:hAnsi="宋体" w:eastAsia="宋体" w:cs="Times New Roman"/>
                <w:b/>
                <w:sz w:val="24"/>
                <w:szCs w:val="24"/>
              </w:rPr>
            </w:pPr>
            <w:r>
              <w:rPr>
                <w:rFonts w:hint="eastAsia" w:ascii="宋体" w:hAnsi="宋体" w:eastAsia="宋体" w:cs="Times New Roman"/>
                <w:b/>
                <w:sz w:val="24"/>
                <w:szCs w:val="24"/>
              </w:rPr>
              <w:t>4</w:t>
            </w:r>
          </w:p>
        </w:tc>
        <w:tc>
          <w:tcPr>
            <w:tcW w:w="3301" w:type="dxa"/>
            <w:vAlign w:val="center"/>
          </w:tcPr>
          <w:p>
            <w:pPr>
              <w:spacing w:before="156" w:beforeLines="50" w:after="156" w:afterLines="50" w:line="360" w:lineRule="auto"/>
              <w:jc w:val="center"/>
              <w:rPr>
                <w:rFonts w:ascii="宋体" w:hAnsi="宋体" w:eastAsia="宋体" w:cs="Times New Roman"/>
                <w:sz w:val="24"/>
                <w:szCs w:val="24"/>
              </w:rPr>
            </w:pPr>
            <w:r>
              <w:rPr>
                <w:rFonts w:hint="eastAsia" w:ascii="宋体" w:hAnsi="宋体" w:eastAsia="宋体" w:cs="Times New Roman"/>
                <w:sz w:val="24"/>
                <w:szCs w:val="24"/>
              </w:rPr>
              <w:t>智能人脸识别导诊大屏软件</w:t>
            </w:r>
          </w:p>
        </w:tc>
        <w:tc>
          <w:tcPr>
            <w:tcW w:w="660" w:type="dxa"/>
            <w:vAlign w:val="center"/>
          </w:tcPr>
          <w:p>
            <w:pPr>
              <w:spacing w:before="156" w:beforeLines="50" w:after="156" w:afterLines="50" w:line="360" w:lineRule="auto"/>
              <w:jc w:val="center"/>
              <w:rPr>
                <w:rFonts w:ascii="宋体" w:hAnsi="宋体" w:eastAsia="宋体" w:cs="Times New Roman"/>
                <w:sz w:val="24"/>
                <w:szCs w:val="24"/>
              </w:rPr>
            </w:pPr>
            <w:r>
              <w:rPr>
                <w:rFonts w:hint="eastAsia" w:ascii="宋体" w:hAnsi="宋体" w:eastAsia="宋体" w:cs="Times New Roman"/>
                <w:sz w:val="24"/>
                <w:szCs w:val="24"/>
              </w:rPr>
              <w:t>1套</w:t>
            </w:r>
          </w:p>
        </w:tc>
        <w:tc>
          <w:tcPr>
            <w:tcW w:w="3815" w:type="dxa"/>
          </w:tcPr>
          <w:p>
            <w:pPr>
              <w:spacing w:before="156" w:beforeLines="50" w:after="156" w:afterLines="50" w:line="360" w:lineRule="auto"/>
              <w:jc w:val="center"/>
              <w:rPr>
                <w:rFonts w:ascii="宋体" w:hAnsi="宋体" w:eastAsia="宋体" w:cs="Times New Roman"/>
                <w:sz w:val="24"/>
                <w:szCs w:val="24"/>
              </w:rPr>
            </w:pPr>
            <w:r>
              <w:rPr>
                <w:rFonts w:hint="eastAsia" w:ascii="宋体" w:hAnsi="宋体" w:eastAsia="宋体" w:cs="Times New Roman"/>
                <w:sz w:val="24"/>
                <w:szCs w:val="24"/>
              </w:rPr>
              <w:t>详见详细功能要求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5" w:type="dxa"/>
            <w:vAlign w:val="center"/>
          </w:tcPr>
          <w:p>
            <w:pPr>
              <w:spacing w:before="156" w:beforeLines="50" w:after="156" w:afterLines="50" w:line="360" w:lineRule="auto"/>
              <w:jc w:val="center"/>
              <w:rPr>
                <w:rFonts w:ascii="宋体" w:hAnsi="Calibri" w:eastAsia="宋体" w:cs="Times New Roman"/>
                <w:b/>
                <w:sz w:val="24"/>
                <w:szCs w:val="24"/>
              </w:rPr>
            </w:pPr>
            <w:r>
              <w:rPr>
                <w:rFonts w:hint="eastAsia" w:ascii="宋体" w:hAnsi="宋体" w:eastAsia="宋体" w:cs="Times New Roman"/>
                <w:b/>
                <w:sz w:val="24"/>
                <w:szCs w:val="24"/>
              </w:rPr>
              <w:t>5</w:t>
            </w:r>
          </w:p>
        </w:tc>
        <w:tc>
          <w:tcPr>
            <w:tcW w:w="3301" w:type="dxa"/>
            <w:vAlign w:val="center"/>
          </w:tcPr>
          <w:p>
            <w:pPr>
              <w:spacing w:before="156" w:beforeLines="50" w:after="156" w:afterLines="50" w:line="360" w:lineRule="auto"/>
              <w:jc w:val="center"/>
              <w:rPr>
                <w:rFonts w:ascii="宋体" w:hAnsi="Calibri" w:eastAsia="宋体" w:cs="Times New Roman"/>
                <w:sz w:val="24"/>
                <w:szCs w:val="24"/>
              </w:rPr>
            </w:pPr>
            <w:r>
              <w:rPr>
                <w:rFonts w:hint="eastAsia" w:ascii="宋体" w:hAnsi="宋体" w:eastAsia="宋体" w:cs="Times New Roman"/>
                <w:sz w:val="24"/>
                <w:szCs w:val="24"/>
              </w:rPr>
              <w:t>智能人脸识别导诊大屏</w:t>
            </w:r>
          </w:p>
        </w:tc>
        <w:tc>
          <w:tcPr>
            <w:tcW w:w="660" w:type="dxa"/>
            <w:vAlign w:val="center"/>
          </w:tcPr>
          <w:p>
            <w:pPr>
              <w:spacing w:before="156" w:beforeLines="50" w:after="156" w:afterLines="50" w:line="360" w:lineRule="auto"/>
              <w:jc w:val="center"/>
              <w:rPr>
                <w:rFonts w:ascii="宋体" w:hAnsi="Calibri" w:eastAsia="宋体" w:cs="Times New Roman"/>
                <w:sz w:val="24"/>
                <w:szCs w:val="24"/>
              </w:rPr>
            </w:pPr>
            <w:r>
              <w:rPr>
                <w:rFonts w:hint="eastAsia" w:ascii="宋体" w:hAnsi="宋体" w:eastAsia="宋体" w:cs="Times New Roman"/>
                <w:sz w:val="24"/>
                <w:szCs w:val="24"/>
              </w:rPr>
              <w:t>2台</w:t>
            </w:r>
          </w:p>
        </w:tc>
        <w:tc>
          <w:tcPr>
            <w:tcW w:w="3815" w:type="dxa"/>
          </w:tcPr>
          <w:p>
            <w:pPr>
              <w:spacing w:before="156" w:beforeLines="50" w:after="156" w:afterLines="50" w:line="360" w:lineRule="auto"/>
              <w:jc w:val="center"/>
              <w:rPr>
                <w:rFonts w:ascii="宋体" w:hAnsi="Calibri" w:eastAsia="宋体" w:cs="Times New Roman"/>
                <w:sz w:val="24"/>
                <w:szCs w:val="24"/>
              </w:rPr>
            </w:pPr>
            <w:r>
              <w:rPr>
                <w:rFonts w:hint="eastAsia" w:ascii="宋体" w:hAnsi="宋体" w:eastAsia="宋体" w:cs="Times New Roman"/>
                <w:sz w:val="24"/>
                <w:szCs w:val="24"/>
              </w:rPr>
              <w:t>详见详细功能要求</w:t>
            </w:r>
          </w:p>
        </w:tc>
      </w:tr>
    </w:tbl>
    <w:p>
      <w:pPr>
        <w:spacing w:line="360" w:lineRule="auto"/>
        <w:rPr>
          <w:rFonts w:ascii="宋体" w:hAnsi="宋体" w:eastAsia="宋体"/>
          <w:sz w:val="24"/>
        </w:rPr>
      </w:pPr>
    </w:p>
    <w:p>
      <w:pPr>
        <w:widowControl/>
        <w:jc w:val="left"/>
        <w:rPr>
          <w:rFonts w:ascii="宋体" w:hAnsi="宋体" w:eastAsia="宋体"/>
          <w:sz w:val="24"/>
        </w:rPr>
      </w:pPr>
      <w:r>
        <w:rPr>
          <w:rFonts w:ascii="宋体" w:hAnsi="宋体" w:eastAsia="宋体"/>
          <w:sz w:val="24"/>
        </w:rPr>
        <w:br w:type="page"/>
      </w:r>
    </w:p>
    <w:p>
      <w:pPr>
        <w:pStyle w:val="4"/>
        <w:ind w:left="0" w:leftChars="0" w:firstLine="0" w:firstLineChars="0"/>
        <w:jc w:val="both"/>
        <w:rPr>
          <w:sz w:val="28"/>
          <w:szCs w:val="28"/>
        </w:rPr>
      </w:pPr>
      <w:bookmarkStart w:id="1" w:name="_Toc529730213"/>
      <w:r>
        <w:rPr>
          <w:rFonts w:hint="eastAsia"/>
          <w:sz w:val="28"/>
          <w:szCs w:val="28"/>
          <w:lang w:val="en-US" w:eastAsia="zh-CN"/>
        </w:rPr>
        <w:t>四、</w:t>
      </w:r>
      <w:r>
        <w:rPr>
          <w:rFonts w:hint="eastAsia"/>
          <w:sz w:val="28"/>
          <w:szCs w:val="28"/>
        </w:rPr>
        <w:t>详细功能</w:t>
      </w:r>
      <w:bookmarkEnd w:id="1"/>
      <w:r>
        <w:rPr>
          <w:rFonts w:hint="eastAsia"/>
          <w:sz w:val="28"/>
          <w:szCs w:val="28"/>
        </w:rPr>
        <w:t>要求</w:t>
      </w:r>
    </w:p>
    <w:p>
      <w:pPr>
        <w:pStyle w:val="5"/>
        <w:tabs>
          <w:tab w:val="left" w:pos="426"/>
          <w:tab w:val="left" w:pos="993"/>
        </w:tabs>
        <w:jc w:val="left"/>
      </w:pPr>
      <w:r>
        <w:rPr>
          <w:rFonts w:hint="eastAsia"/>
        </w:rPr>
        <w:t xml:space="preserve"> </w:t>
      </w:r>
      <w:r>
        <w:rPr>
          <w:rFonts w:hint="eastAsia"/>
          <w:sz w:val="28"/>
          <w:szCs w:val="18"/>
        </w:rPr>
        <w:t>院内高精度地图</w:t>
      </w:r>
    </w:p>
    <w:tbl>
      <w:tblPr>
        <w:tblStyle w:val="5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885"/>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6"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序号</w:t>
            </w:r>
          </w:p>
        </w:tc>
        <w:tc>
          <w:tcPr>
            <w:tcW w:w="1885"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功能名称</w:t>
            </w:r>
          </w:p>
        </w:tc>
        <w:tc>
          <w:tcPr>
            <w:tcW w:w="6000" w:type="dxa"/>
            <w:vAlign w:val="center"/>
          </w:tcPr>
          <w:p>
            <w:pPr>
              <w:spacing w:line="360" w:lineRule="auto"/>
              <w:jc w:val="center"/>
              <w:rPr>
                <w:rFonts w:ascii="宋体" w:hAnsi="Calibri" w:eastAsia="宋体" w:cs="宋体"/>
                <w:b/>
                <w:sz w:val="24"/>
                <w:szCs w:val="24"/>
              </w:rPr>
            </w:pPr>
            <w:r>
              <w:rPr>
                <w:rFonts w:hint="eastAsia" w:ascii="宋体" w:hAnsi="宋体" w:eastAsia="宋体" w:cs="宋体"/>
                <w:b/>
                <w:bCs/>
                <w:kern w:val="0"/>
                <w:sz w:val="24"/>
                <w:szCs w:val="24"/>
                <w:lang w:val="zh-CN"/>
              </w:rPr>
              <w:t>技术指标参数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1</w:t>
            </w:r>
          </w:p>
        </w:tc>
        <w:tc>
          <w:tcPr>
            <w:tcW w:w="1885"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基本参数</w:t>
            </w:r>
          </w:p>
        </w:tc>
        <w:tc>
          <w:tcPr>
            <w:tcW w:w="6000" w:type="dxa"/>
            <w:vAlign w:val="center"/>
          </w:tcPr>
          <w:p>
            <w:pPr>
              <w:numPr>
                <w:ilvl w:val="0"/>
                <w:numId w:val="11"/>
              </w:numPr>
              <w:spacing w:line="360" w:lineRule="auto"/>
              <w:jc w:val="left"/>
              <w:rPr>
                <w:rFonts w:ascii="宋体" w:hAnsi="Times New Roman" w:eastAsia="宋体" w:cs="宋体"/>
                <w:sz w:val="24"/>
                <w:szCs w:val="24"/>
              </w:rPr>
            </w:pPr>
            <w:r>
              <w:rPr>
                <w:rFonts w:hint="eastAsia" w:ascii="宋体" w:hAnsi="宋体" w:eastAsia="宋体" w:cs="宋体"/>
                <w:sz w:val="24"/>
                <w:szCs w:val="24"/>
              </w:rPr>
              <w:t>采用</w:t>
            </w:r>
            <w:r>
              <w:rPr>
                <w:rFonts w:ascii="宋体" w:hAnsi="宋体" w:eastAsia="宋体" w:cs="宋体"/>
                <w:sz w:val="24"/>
                <w:szCs w:val="24"/>
              </w:rPr>
              <w:t xml:space="preserve"> WGS84 </w:t>
            </w:r>
            <w:r>
              <w:rPr>
                <w:rFonts w:hint="eastAsia" w:ascii="宋体" w:hAnsi="宋体" w:eastAsia="宋体" w:cs="宋体"/>
                <w:sz w:val="24"/>
                <w:szCs w:val="24"/>
              </w:rPr>
              <w:t>坐标系；</w:t>
            </w:r>
          </w:p>
          <w:p>
            <w:pPr>
              <w:numPr>
                <w:ilvl w:val="0"/>
                <w:numId w:val="11"/>
              </w:numPr>
              <w:spacing w:line="360" w:lineRule="auto"/>
              <w:jc w:val="left"/>
              <w:rPr>
                <w:rFonts w:ascii="宋体" w:hAnsi="Times New Roman" w:eastAsia="宋体" w:cs="宋体"/>
                <w:sz w:val="24"/>
                <w:szCs w:val="24"/>
              </w:rPr>
            </w:pPr>
            <w:r>
              <w:rPr>
                <w:rFonts w:hint="eastAsia" w:ascii="宋体" w:hAnsi="宋体" w:eastAsia="宋体" w:cs="宋体"/>
                <w:sz w:val="24"/>
                <w:szCs w:val="24"/>
              </w:rPr>
              <w:t>地图精度：</w:t>
            </w:r>
            <w:r>
              <w:rPr>
                <w:rFonts w:ascii="宋体" w:hAnsi="宋体" w:eastAsia="宋体" w:cs="宋体"/>
                <w:sz w:val="24"/>
                <w:szCs w:val="24"/>
              </w:rPr>
              <w:t>&lt;2cm</w:t>
            </w:r>
            <w:r>
              <w:rPr>
                <w:rFonts w:hint="eastAsia" w:ascii="宋体" w:hAnsi="宋体" w:eastAsia="宋体" w:cs="宋体"/>
                <w:sz w:val="24"/>
                <w:szCs w:val="24"/>
              </w:rPr>
              <w:t>；</w:t>
            </w:r>
          </w:p>
          <w:p>
            <w:pPr>
              <w:numPr>
                <w:ilvl w:val="0"/>
                <w:numId w:val="11"/>
              </w:numPr>
              <w:spacing w:line="360" w:lineRule="auto"/>
              <w:jc w:val="left"/>
              <w:rPr>
                <w:rFonts w:ascii="宋体" w:hAnsi="Times New Roman" w:eastAsia="宋体" w:cs="宋体"/>
                <w:sz w:val="24"/>
                <w:szCs w:val="24"/>
              </w:rPr>
            </w:pPr>
            <w:r>
              <w:rPr>
                <w:rFonts w:hint="eastAsia" w:ascii="宋体" w:hAnsi="宋体" w:eastAsia="宋体" w:cs="宋体"/>
                <w:sz w:val="24"/>
                <w:szCs w:val="24"/>
              </w:rPr>
              <w:t>地图格式：矢量格式；</w:t>
            </w:r>
          </w:p>
          <w:p>
            <w:pPr>
              <w:numPr>
                <w:ilvl w:val="0"/>
                <w:numId w:val="11"/>
              </w:numPr>
              <w:spacing w:line="360" w:lineRule="auto"/>
              <w:jc w:val="left"/>
              <w:rPr>
                <w:rFonts w:ascii="宋体" w:hAnsi="Times New Roman" w:eastAsia="宋体" w:cs="宋体"/>
                <w:sz w:val="24"/>
                <w:szCs w:val="24"/>
              </w:rPr>
            </w:pPr>
            <w:r>
              <w:rPr>
                <w:rFonts w:hint="eastAsia" w:ascii="宋体" w:hAnsi="宋体" w:eastAsia="宋体" w:cs="宋体"/>
                <w:sz w:val="24"/>
                <w:szCs w:val="24"/>
              </w:rPr>
              <w:t>地图信息：地图制作应包含路网及通行设施信息；</w:t>
            </w:r>
          </w:p>
          <w:p>
            <w:pPr>
              <w:numPr>
                <w:ilvl w:val="0"/>
                <w:numId w:val="11"/>
              </w:numPr>
              <w:spacing w:line="360" w:lineRule="auto"/>
              <w:jc w:val="left"/>
              <w:rPr>
                <w:rFonts w:ascii="宋体" w:hAnsi="Times New Roman" w:eastAsia="宋体" w:cs="宋体"/>
                <w:sz w:val="24"/>
                <w:szCs w:val="24"/>
              </w:rPr>
            </w:pPr>
            <w:r>
              <w:rPr>
                <w:rFonts w:hint="eastAsia" w:ascii="宋体" w:hAnsi="宋体" w:eastAsia="宋体" w:cs="宋体"/>
                <w:sz w:val="24"/>
                <w:szCs w:val="24"/>
              </w:rPr>
              <w:t>地图坐标：支持室内地图坐标能够转换到室外坐标系，提供室内外坐标的切换；</w:t>
            </w:r>
          </w:p>
          <w:p>
            <w:pPr>
              <w:numPr>
                <w:ilvl w:val="0"/>
                <w:numId w:val="11"/>
              </w:numPr>
              <w:spacing w:line="360" w:lineRule="auto"/>
              <w:jc w:val="left"/>
              <w:rPr>
                <w:rFonts w:ascii="宋体" w:hAnsi="Times New Roman" w:eastAsia="宋体" w:cs="宋体"/>
                <w:sz w:val="24"/>
                <w:szCs w:val="24"/>
              </w:rPr>
            </w:pPr>
            <w:r>
              <w:rPr>
                <w:rFonts w:hint="eastAsia" w:ascii="宋体" w:hAnsi="宋体" w:eastAsia="宋体" w:cs="宋体"/>
                <w:sz w:val="24"/>
                <w:szCs w:val="24"/>
              </w:rPr>
              <w:t>地图</w:t>
            </w:r>
            <w:r>
              <w:rPr>
                <w:rFonts w:ascii="宋体" w:hAnsi="宋体" w:eastAsia="宋体" w:cs="宋体"/>
                <w:sz w:val="24"/>
                <w:szCs w:val="24"/>
              </w:rPr>
              <w:t>POI</w:t>
            </w:r>
            <w:r>
              <w:rPr>
                <w:rFonts w:hint="eastAsia" w:ascii="宋体" w:hAnsi="宋体" w:eastAsia="宋体" w:cs="宋体"/>
                <w:sz w:val="24"/>
                <w:szCs w:val="24"/>
              </w:rPr>
              <w:t>修改时间小于</w:t>
            </w:r>
            <w:r>
              <w:rPr>
                <w:rFonts w:ascii="宋体" w:hAnsi="宋体" w:eastAsia="宋体" w:cs="宋体"/>
                <w:sz w:val="24"/>
                <w:szCs w:val="24"/>
              </w:rPr>
              <w:t>24</w:t>
            </w:r>
            <w:r>
              <w:rPr>
                <w:rFonts w:hint="eastAsia" w:ascii="宋体" w:hAnsi="宋体" w:eastAsia="宋体" w:cs="宋体"/>
                <w:sz w:val="24"/>
                <w:szCs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2</w:t>
            </w:r>
          </w:p>
        </w:tc>
        <w:tc>
          <w:tcPr>
            <w:tcW w:w="1885"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建筑物</w:t>
            </w:r>
          </w:p>
          <w:p>
            <w:pPr>
              <w:spacing w:line="360" w:lineRule="auto"/>
              <w:jc w:val="center"/>
              <w:rPr>
                <w:rFonts w:ascii="宋体" w:hAnsi="Calibri" w:eastAsia="宋体" w:cs="宋体"/>
                <w:b/>
                <w:sz w:val="24"/>
                <w:szCs w:val="24"/>
              </w:rPr>
            </w:pPr>
            <w:r>
              <w:rPr>
                <w:rFonts w:hint="eastAsia" w:ascii="宋体" w:hAnsi="宋体" w:eastAsia="宋体" w:cs="宋体"/>
                <w:b/>
                <w:sz w:val="24"/>
                <w:szCs w:val="24"/>
              </w:rPr>
              <w:t>信息采集</w:t>
            </w:r>
          </w:p>
        </w:tc>
        <w:tc>
          <w:tcPr>
            <w:tcW w:w="6000" w:type="dxa"/>
            <w:vAlign w:val="center"/>
          </w:tcPr>
          <w:p>
            <w:pPr>
              <w:spacing w:line="360" w:lineRule="auto"/>
              <w:jc w:val="left"/>
              <w:rPr>
                <w:rFonts w:ascii="宋体" w:hAnsi="Calibri" w:eastAsia="宋体" w:cs="宋体"/>
                <w:sz w:val="24"/>
                <w:szCs w:val="24"/>
              </w:rPr>
            </w:pPr>
            <w:r>
              <w:rPr>
                <w:rFonts w:hint="eastAsia" w:ascii="宋体" w:hAnsi="宋体" w:eastAsia="宋体" w:cs="宋体"/>
                <w:sz w:val="24"/>
                <w:szCs w:val="24"/>
              </w:rPr>
              <w:t>院区有多栋建筑物，名称采集必须准确，必须要拍摄图片，并且图片上面的名称为现场真实名称。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3</w:t>
            </w:r>
          </w:p>
        </w:tc>
        <w:tc>
          <w:tcPr>
            <w:tcW w:w="1885"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楼层信息采集</w:t>
            </w:r>
          </w:p>
        </w:tc>
        <w:tc>
          <w:tcPr>
            <w:tcW w:w="6000" w:type="dxa"/>
            <w:vAlign w:val="center"/>
          </w:tcPr>
          <w:p>
            <w:pPr>
              <w:spacing w:line="360" w:lineRule="auto"/>
              <w:jc w:val="left"/>
              <w:rPr>
                <w:rFonts w:ascii="宋体" w:hAnsi="Calibri" w:eastAsia="宋体" w:cs="宋体"/>
                <w:sz w:val="24"/>
                <w:szCs w:val="24"/>
              </w:rPr>
            </w:pPr>
            <w:r>
              <w:rPr>
                <w:rFonts w:hint="eastAsia" w:ascii="宋体" w:hAnsi="宋体" w:eastAsia="宋体" w:cs="宋体"/>
                <w:sz w:val="24"/>
                <w:szCs w:val="24"/>
              </w:rPr>
              <w:t>必须采集主要建筑所有楼层信息，不能出现楼层缺失的情况，如果现场确实有楼层不相连的问题，需要拍摄图片作相关说明。需要确认每一层的大小范围是否一致，如果现场不一致，需要拍摄图片备注说明。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4</w:t>
            </w:r>
          </w:p>
        </w:tc>
        <w:tc>
          <w:tcPr>
            <w:tcW w:w="1885"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科室信息采集</w:t>
            </w:r>
          </w:p>
        </w:tc>
        <w:tc>
          <w:tcPr>
            <w:tcW w:w="6000" w:type="dxa"/>
            <w:vAlign w:val="center"/>
          </w:tcPr>
          <w:p>
            <w:pPr>
              <w:spacing w:line="360" w:lineRule="auto"/>
              <w:jc w:val="left"/>
              <w:rPr>
                <w:rFonts w:ascii="宋体" w:hAnsi="Calibri" w:eastAsia="宋体" w:cs="宋体"/>
                <w:sz w:val="24"/>
                <w:szCs w:val="24"/>
              </w:rPr>
            </w:pPr>
            <w:r>
              <w:rPr>
                <w:rFonts w:hint="eastAsia" w:ascii="宋体" w:hAnsi="宋体" w:eastAsia="宋体" w:cs="宋体"/>
                <w:sz w:val="24"/>
                <w:szCs w:val="24"/>
              </w:rPr>
              <w:t>科室名称必须采集全称。</w:t>
            </w:r>
          </w:p>
          <w:p>
            <w:pPr>
              <w:spacing w:line="360" w:lineRule="auto"/>
              <w:jc w:val="left"/>
              <w:rPr>
                <w:rFonts w:ascii="宋体" w:hAnsi="Calibri" w:eastAsia="宋体" w:cs="宋体"/>
                <w:sz w:val="24"/>
                <w:szCs w:val="24"/>
              </w:rPr>
            </w:pPr>
            <w:r>
              <w:rPr>
                <w:rFonts w:hint="eastAsia" w:ascii="宋体" w:hAnsi="宋体" w:eastAsia="宋体" w:cs="宋体"/>
                <w:sz w:val="24"/>
                <w:szCs w:val="24"/>
              </w:rPr>
              <w:t>必须采集科室的分类信息，便于导航页使用。</w:t>
            </w:r>
          </w:p>
          <w:p>
            <w:pPr>
              <w:spacing w:line="360" w:lineRule="auto"/>
              <w:jc w:val="left"/>
              <w:rPr>
                <w:rFonts w:ascii="宋体" w:hAnsi="Calibri" w:eastAsia="宋体" w:cs="宋体"/>
                <w:sz w:val="24"/>
                <w:szCs w:val="24"/>
              </w:rPr>
            </w:pPr>
            <w:r>
              <w:rPr>
                <w:rFonts w:hint="eastAsia" w:ascii="宋体" w:hAnsi="宋体" w:eastAsia="宋体" w:cs="宋体"/>
                <w:sz w:val="24"/>
                <w:szCs w:val="24"/>
              </w:rPr>
              <w:t>如科室有数字编号，必须采集。</w:t>
            </w:r>
          </w:p>
          <w:p>
            <w:pPr>
              <w:spacing w:line="360" w:lineRule="auto"/>
              <w:jc w:val="left"/>
              <w:rPr>
                <w:rFonts w:ascii="宋体" w:hAnsi="Calibri" w:eastAsia="宋体" w:cs="宋体"/>
                <w:sz w:val="24"/>
                <w:szCs w:val="24"/>
              </w:rPr>
            </w:pPr>
            <w:r>
              <w:rPr>
                <w:rFonts w:hint="eastAsia" w:ascii="宋体" w:hAnsi="宋体" w:eastAsia="宋体" w:cs="宋体"/>
                <w:sz w:val="24"/>
                <w:szCs w:val="24"/>
              </w:rPr>
              <w:t>科室的门如多于</w:t>
            </w:r>
            <w:r>
              <w:rPr>
                <w:rFonts w:ascii="宋体" w:hAnsi="宋体" w:eastAsia="宋体" w:cs="宋体"/>
                <w:sz w:val="24"/>
                <w:szCs w:val="24"/>
              </w:rPr>
              <w:t>1</w:t>
            </w:r>
            <w:r>
              <w:rPr>
                <w:rFonts w:hint="eastAsia" w:ascii="宋体" w:hAnsi="宋体" w:eastAsia="宋体" w:cs="宋体"/>
                <w:sz w:val="24"/>
                <w:szCs w:val="24"/>
              </w:rPr>
              <w:t>个，必须都要采集，并且保证门的位置绝对正确，误差不得大于</w:t>
            </w:r>
            <w:r>
              <w:rPr>
                <w:rFonts w:ascii="宋体" w:hAnsi="宋体" w:eastAsia="宋体" w:cs="宋体"/>
                <w:sz w:val="24"/>
                <w:szCs w:val="24"/>
              </w:rPr>
              <w:t>1</w:t>
            </w:r>
            <w:r>
              <w:rPr>
                <w:rFonts w:hint="eastAsia" w:ascii="宋体" w:hAnsi="宋体" w:eastAsia="宋体" w:cs="宋体"/>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5</w:t>
            </w:r>
          </w:p>
        </w:tc>
        <w:tc>
          <w:tcPr>
            <w:tcW w:w="1885"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设施信息采集</w:t>
            </w:r>
          </w:p>
        </w:tc>
        <w:tc>
          <w:tcPr>
            <w:tcW w:w="6000" w:type="dxa"/>
            <w:vAlign w:val="center"/>
          </w:tcPr>
          <w:p>
            <w:pPr>
              <w:numPr>
                <w:ilvl w:val="0"/>
                <w:numId w:val="12"/>
              </w:numPr>
              <w:spacing w:line="360" w:lineRule="auto"/>
              <w:jc w:val="left"/>
              <w:rPr>
                <w:rFonts w:ascii="宋体" w:hAnsi="Calibri" w:eastAsia="宋体" w:cs="宋体"/>
                <w:sz w:val="24"/>
                <w:szCs w:val="24"/>
              </w:rPr>
            </w:pPr>
            <w:r>
              <w:rPr>
                <w:rFonts w:hint="eastAsia" w:ascii="宋体" w:hAnsi="宋体" w:eastAsia="宋体" w:cs="宋体"/>
                <w:sz w:val="24"/>
                <w:szCs w:val="24"/>
              </w:rPr>
              <w:t>对院内公共设施信息进行采集，保证与真实相同</w:t>
            </w:r>
          </w:p>
          <w:p>
            <w:pPr>
              <w:numPr>
                <w:ilvl w:val="0"/>
                <w:numId w:val="12"/>
              </w:numPr>
              <w:spacing w:line="360" w:lineRule="auto"/>
              <w:jc w:val="left"/>
              <w:rPr>
                <w:rFonts w:ascii="宋体" w:hAnsi="Calibri" w:eastAsia="宋体" w:cs="宋体"/>
                <w:sz w:val="24"/>
                <w:szCs w:val="24"/>
              </w:rPr>
            </w:pPr>
            <w:r>
              <w:rPr>
                <w:rFonts w:hint="eastAsia" w:ascii="宋体" w:hAnsi="宋体" w:eastAsia="宋体" w:cs="宋体"/>
                <w:kern w:val="0"/>
                <w:sz w:val="24"/>
                <w:szCs w:val="24"/>
                <w:lang w:val="zh-CN"/>
              </w:rPr>
              <w:t>通行设施采集主要针对建筑物的门、电梯、扶梯等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6</w:t>
            </w:r>
          </w:p>
        </w:tc>
        <w:tc>
          <w:tcPr>
            <w:tcW w:w="1885"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室内路网采集</w:t>
            </w:r>
          </w:p>
        </w:tc>
        <w:tc>
          <w:tcPr>
            <w:tcW w:w="6000" w:type="dxa"/>
            <w:vAlign w:val="center"/>
          </w:tcPr>
          <w:p>
            <w:pPr>
              <w:numPr>
                <w:ilvl w:val="0"/>
                <w:numId w:val="13"/>
              </w:numPr>
              <w:spacing w:line="360" w:lineRule="auto"/>
              <w:jc w:val="left"/>
              <w:rPr>
                <w:rFonts w:ascii="宋体" w:hAnsi="Calibri" w:eastAsia="宋体" w:cs="宋体"/>
                <w:kern w:val="0"/>
                <w:sz w:val="24"/>
                <w:szCs w:val="24"/>
                <w:lang w:val="zh-CN"/>
              </w:rPr>
            </w:pPr>
            <w:r>
              <w:rPr>
                <w:rFonts w:hint="eastAsia" w:ascii="宋体" w:hAnsi="宋体" w:eastAsia="宋体" w:cs="宋体"/>
                <w:kern w:val="0"/>
                <w:sz w:val="24"/>
                <w:szCs w:val="24"/>
                <w:lang w:val="zh-CN"/>
              </w:rPr>
              <w:t>采集院内室内路网数据并建立空间地理信息路网数据库。</w:t>
            </w:r>
          </w:p>
          <w:p>
            <w:pPr>
              <w:numPr>
                <w:ilvl w:val="0"/>
                <w:numId w:val="13"/>
              </w:numPr>
              <w:spacing w:line="360" w:lineRule="auto"/>
              <w:jc w:val="left"/>
              <w:rPr>
                <w:rFonts w:ascii="宋体" w:hAnsi="Calibri" w:eastAsia="宋体" w:cs="宋体"/>
                <w:sz w:val="24"/>
                <w:szCs w:val="24"/>
              </w:rPr>
            </w:pPr>
            <w:r>
              <w:rPr>
                <w:rFonts w:hint="eastAsia" w:ascii="宋体" w:hAnsi="宋体" w:eastAsia="宋体" w:cs="宋体"/>
                <w:kern w:val="0"/>
                <w:sz w:val="24"/>
                <w:szCs w:val="24"/>
                <w:lang w:val="zh-CN"/>
              </w:rPr>
              <w:t>路网数据符合院内通行要求和患者行走习惯。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7</w:t>
            </w:r>
          </w:p>
        </w:tc>
        <w:tc>
          <w:tcPr>
            <w:tcW w:w="1885"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停车场数据采集</w:t>
            </w:r>
          </w:p>
        </w:tc>
        <w:tc>
          <w:tcPr>
            <w:tcW w:w="6000" w:type="dxa"/>
            <w:vAlign w:val="center"/>
          </w:tcPr>
          <w:p>
            <w:pPr>
              <w:numPr>
                <w:ilvl w:val="0"/>
                <w:numId w:val="13"/>
              </w:numPr>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停车场地图区分车行线、人行线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7</w:t>
            </w:r>
          </w:p>
        </w:tc>
        <w:tc>
          <w:tcPr>
            <w:tcW w:w="1885"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室内地图</w:t>
            </w:r>
          </w:p>
          <w:p>
            <w:pPr>
              <w:spacing w:line="360" w:lineRule="auto"/>
              <w:jc w:val="center"/>
              <w:rPr>
                <w:rFonts w:ascii="宋体" w:hAnsi="Calibri" w:eastAsia="宋体" w:cs="宋体"/>
                <w:b/>
                <w:sz w:val="24"/>
                <w:szCs w:val="24"/>
              </w:rPr>
            </w:pPr>
            <w:r>
              <w:rPr>
                <w:rFonts w:hint="eastAsia" w:ascii="宋体" w:hAnsi="宋体" w:eastAsia="宋体" w:cs="宋体"/>
                <w:b/>
                <w:sz w:val="24"/>
                <w:szCs w:val="24"/>
              </w:rPr>
              <w:t>数据质检</w:t>
            </w:r>
          </w:p>
        </w:tc>
        <w:tc>
          <w:tcPr>
            <w:tcW w:w="6000" w:type="dxa"/>
            <w:vAlign w:val="center"/>
          </w:tcPr>
          <w:p>
            <w:pPr>
              <w:spacing w:line="360" w:lineRule="auto"/>
              <w:jc w:val="left"/>
              <w:rPr>
                <w:rFonts w:ascii="宋体" w:hAnsi="Calibri" w:eastAsia="宋体" w:cs="宋体"/>
                <w:sz w:val="24"/>
                <w:szCs w:val="24"/>
              </w:rPr>
            </w:pPr>
            <w:r>
              <w:rPr>
                <w:rFonts w:hint="eastAsia" w:ascii="宋体" w:hAnsi="宋体" w:eastAsia="宋体" w:cs="宋体"/>
                <w:sz w:val="24"/>
                <w:szCs w:val="24"/>
              </w:rPr>
              <w:t>要求对完成生产的室内地图数据包括室内路网数据、</w:t>
            </w:r>
            <w:r>
              <w:rPr>
                <w:rFonts w:ascii="宋体" w:hAnsi="宋体" w:eastAsia="宋体" w:cs="宋体"/>
                <w:sz w:val="24"/>
                <w:szCs w:val="24"/>
              </w:rPr>
              <w:t>POI</w:t>
            </w:r>
            <w:r>
              <w:rPr>
                <w:rFonts w:hint="eastAsia" w:ascii="宋体" w:hAnsi="宋体" w:eastAsia="宋体" w:cs="宋体"/>
                <w:sz w:val="24"/>
                <w:szCs w:val="24"/>
              </w:rPr>
              <w:t>数据进行质检，保证地图数据准确性。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8</w:t>
            </w:r>
          </w:p>
        </w:tc>
        <w:tc>
          <w:tcPr>
            <w:tcW w:w="1885"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激光扫描仪采集</w:t>
            </w:r>
          </w:p>
        </w:tc>
        <w:tc>
          <w:tcPr>
            <w:tcW w:w="6000" w:type="dxa"/>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支持激光扫描仪采集地图，能达到2CM以内得地图精度，出具激光扫描仪购买发票，以及扫描仪图样</w:t>
            </w:r>
          </w:p>
        </w:tc>
      </w:tr>
    </w:tbl>
    <w:p>
      <w:pPr>
        <w:pStyle w:val="5"/>
        <w:tabs>
          <w:tab w:val="left" w:pos="426"/>
          <w:tab w:val="left" w:pos="993"/>
        </w:tabs>
      </w:pPr>
      <w:bookmarkStart w:id="2" w:name="_Toc17580472"/>
      <w:r>
        <w:rPr>
          <w:rFonts w:hint="eastAsia"/>
        </w:rPr>
        <w:t xml:space="preserve"> </w:t>
      </w:r>
      <w:r>
        <w:rPr>
          <w:rFonts w:hint="eastAsia"/>
          <w:sz w:val="28"/>
          <w:szCs w:val="18"/>
        </w:rPr>
        <w:t>院内高精度蓝牙定位网络</w:t>
      </w:r>
      <w:bookmarkEnd w:id="2"/>
    </w:p>
    <w:tbl>
      <w:tblPr>
        <w:tblStyle w:val="56"/>
        <w:tblW w:w="87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450"/>
        <w:gridCol w:w="64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835" w:type="dxa"/>
            <w:vAlign w:val="center"/>
          </w:tcPr>
          <w:p>
            <w:pPr>
              <w:spacing w:line="360" w:lineRule="auto"/>
              <w:jc w:val="center"/>
              <w:rPr>
                <w:rFonts w:ascii="宋体" w:hAnsi="Calibri" w:eastAsia="宋体" w:cs="宋体"/>
                <w:b/>
                <w:sz w:val="24"/>
                <w:szCs w:val="24"/>
              </w:rPr>
            </w:pPr>
            <w:bookmarkStart w:id="3" w:name="OLE_LINK8"/>
            <w:r>
              <w:rPr>
                <w:rFonts w:hint="eastAsia" w:ascii="宋体" w:hAnsi="宋体" w:eastAsia="宋体" w:cs="宋体"/>
                <w:b/>
                <w:sz w:val="24"/>
                <w:szCs w:val="24"/>
              </w:rPr>
              <w:t>序号</w:t>
            </w:r>
          </w:p>
        </w:tc>
        <w:tc>
          <w:tcPr>
            <w:tcW w:w="1450"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功能名称</w:t>
            </w:r>
          </w:p>
        </w:tc>
        <w:tc>
          <w:tcPr>
            <w:tcW w:w="6438" w:type="dxa"/>
            <w:vAlign w:val="center"/>
          </w:tcPr>
          <w:p>
            <w:pPr>
              <w:spacing w:line="360" w:lineRule="auto"/>
              <w:jc w:val="center"/>
              <w:rPr>
                <w:rFonts w:ascii="宋体" w:hAnsi="Calibri" w:eastAsia="宋体" w:cs="宋体"/>
                <w:b/>
                <w:sz w:val="24"/>
                <w:szCs w:val="24"/>
              </w:rPr>
            </w:pPr>
            <w:r>
              <w:rPr>
                <w:rFonts w:hint="eastAsia" w:ascii="宋体" w:hAnsi="宋体" w:eastAsia="宋体" w:cs="宋体"/>
                <w:b/>
                <w:bCs/>
                <w:kern w:val="0"/>
                <w:sz w:val="24"/>
                <w:szCs w:val="24"/>
                <w:lang w:val="zh-CN"/>
              </w:rPr>
              <w:t>技术指标参数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835" w:type="dxa"/>
            <w:vAlign w:val="center"/>
          </w:tcPr>
          <w:p>
            <w:pPr>
              <w:widowControl/>
              <w:spacing w:line="360" w:lineRule="auto"/>
              <w:jc w:val="center"/>
              <w:rPr>
                <w:rFonts w:ascii="宋体" w:hAnsi="Calibri" w:eastAsia="宋体" w:cs="宋体"/>
                <w:b/>
                <w:bCs/>
                <w:kern w:val="0"/>
                <w:sz w:val="24"/>
                <w:szCs w:val="24"/>
                <w:lang w:val="zh-CN"/>
              </w:rPr>
            </w:pPr>
            <w:r>
              <w:rPr>
                <w:rFonts w:ascii="宋体" w:hAnsi="宋体" w:eastAsia="宋体" w:cs="宋体"/>
                <w:b/>
                <w:bCs/>
                <w:kern w:val="0"/>
                <w:sz w:val="24"/>
                <w:szCs w:val="24"/>
                <w:lang w:val="zh-CN"/>
              </w:rPr>
              <w:t>1</w:t>
            </w:r>
          </w:p>
        </w:tc>
        <w:tc>
          <w:tcPr>
            <w:tcW w:w="1450" w:type="dxa"/>
            <w:vAlign w:val="center"/>
          </w:tcPr>
          <w:p>
            <w:pPr>
              <w:widowControl/>
              <w:spacing w:line="360" w:lineRule="auto"/>
              <w:jc w:val="center"/>
              <w:rPr>
                <w:rFonts w:ascii="宋体" w:hAnsi="Calibri" w:eastAsia="宋体" w:cs="宋体"/>
                <w:b/>
                <w:bCs/>
                <w:kern w:val="0"/>
                <w:sz w:val="24"/>
                <w:szCs w:val="24"/>
                <w:lang w:val="zh-CN"/>
              </w:rPr>
            </w:pPr>
            <w:r>
              <w:rPr>
                <w:rFonts w:hint="eastAsia" w:ascii="宋体" w:hAnsi="宋体" w:eastAsia="宋体" w:cs="宋体"/>
                <w:b/>
                <w:bCs/>
                <w:kern w:val="0"/>
                <w:sz w:val="24"/>
                <w:szCs w:val="24"/>
                <w:lang w:val="zh-CN"/>
              </w:rPr>
              <w:t>蓝牙硬件</w:t>
            </w:r>
          </w:p>
        </w:tc>
        <w:tc>
          <w:tcPr>
            <w:tcW w:w="6438" w:type="dxa"/>
            <w:vAlign w:val="center"/>
          </w:tcPr>
          <w:p>
            <w:pPr>
              <w:widowControl/>
              <w:spacing w:line="360" w:lineRule="auto"/>
              <w:rPr>
                <w:rFonts w:ascii="宋体" w:hAnsi="Calibri" w:eastAsia="宋体" w:cs="宋体"/>
                <w:bCs/>
                <w:kern w:val="0"/>
                <w:sz w:val="24"/>
                <w:szCs w:val="24"/>
                <w:lang w:val="zh-CN"/>
              </w:rPr>
            </w:pPr>
            <w:r>
              <w:rPr>
                <w:rFonts w:ascii="宋体" w:hAnsi="宋体" w:eastAsia="宋体" w:cs="宋体"/>
                <w:bCs/>
                <w:kern w:val="0"/>
                <w:sz w:val="24"/>
                <w:szCs w:val="24"/>
                <w:lang w:val="zh-CN"/>
              </w:rPr>
              <w:t>1</w:t>
            </w:r>
            <w:r>
              <w:rPr>
                <w:rFonts w:hint="eastAsia" w:ascii="宋体" w:hAnsi="宋体" w:eastAsia="宋体" w:cs="宋体"/>
                <w:bCs/>
                <w:kern w:val="0"/>
                <w:sz w:val="24"/>
                <w:szCs w:val="24"/>
                <w:lang w:val="zh-CN"/>
              </w:rPr>
              <w:t>、范围：</w:t>
            </w:r>
            <w:r>
              <w:rPr>
                <w:rFonts w:ascii="宋体" w:hAnsi="宋体" w:eastAsia="宋体" w:cs="宋体"/>
                <w:bCs/>
                <w:kern w:val="0"/>
                <w:sz w:val="24"/>
                <w:szCs w:val="24"/>
                <w:lang w:val="zh-CN"/>
              </w:rPr>
              <w:t>2.4G</w:t>
            </w:r>
            <w:r>
              <w:rPr>
                <w:rFonts w:hint="eastAsia" w:ascii="宋体" w:hAnsi="宋体" w:eastAsia="宋体" w:cs="宋体"/>
                <w:bCs/>
                <w:kern w:val="0"/>
                <w:sz w:val="24"/>
                <w:szCs w:val="24"/>
                <w:lang w:val="zh-CN"/>
              </w:rPr>
              <w:t>频段</w:t>
            </w:r>
          </w:p>
          <w:p>
            <w:pPr>
              <w:widowControl/>
              <w:spacing w:line="360" w:lineRule="auto"/>
              <w:rPr>
                <w:rFonts w:ascii="宋体" w:hAnsi="Calibri" w:eastAsia="宋体" w:cs="宋体"/>
                <w:bCs/>
                <w:kern w:val="0"/>
                <w:sz w:val="24"/>
                <w:szCs w:val="24"/>
                <w:lang w:val="zh-CN"/>
              </w:rPr>
            </w:pPr>
            <w:r>
              <w:rPr>
                <w:rFonts w:ascii="宋体" w:hAnsi="宋体" w:eastAsia="宋体" w:cs="宋体"/>
                <w:bCs/>
                <w:kern w:val="0"/>
                <w:sz w:val="24"/>
                <w:szCs w:val="24"/>
                <w:lang w:val="zh-CN"/>
              </w:rPr>
              <w:t>2</w:t>
            </w:r>
            <w:r>
              <w:rPr>
                <w:rFonts w:hint="eastAsia" w:ascii="宋体" w:hAnsi="宋体" w:eastAsia="宋体" w:cs="宋体"/>
                <w:bCs/>
                <w:kern w:val="0"/>
                <w:sz w:val="24"/>
                <w:szCs w:val="24"/>
                <w:lang w:val="zh-CN"/>
              </w:rPr>
              <w:t>、功率：</w:t>
            </w:r>
            <w:r>
              <w:rPr>
                <w:rFonts w:ascii="宋体" w:hAnsi="宋体" w:eastAsia="宋体" w:cs="宋体"/>
                <w:bCs/>
                <w:kern w:val="0"/>
                <w:sz w:val="24"/>
                <w:szCs w:val="24"/>
                <w:lang w:val="zh-CN"/>
              </w:rPr>
              <w:t>-20dbm~5dbm</w:t>
            </w:r>
          </w:p>
          <w:p>
            <w:pPr>
              <w:widowControl/>
              <w:spacing w:line="360" w:lineRule="auto"/>
              <w:rPr>
                <w:rFonts w:ascii="宋体" w:hAnsi="Calibri" w:eastAsia="宋体" w:cs="宋体"/>
                <w:kern w:val="0"/>
                <w:sz w:val="24"/>
                <w:szCs w:val="24"/>
                <w:lang w:val="zh-CN"/>
              </w:rPr>
            </w:pPr>
            <w:r>
              <w:rPr>
                <w:rFonts w:ascii="宋体" w:hAnsi="宋体" w:eastAsia="宋体" w:cs="宋体"/>
                <w:bCs/>
                <w:kern w:val="0"/>
                <w:sz w:val="24"/>
                <w:szCs w:val="24"/>
                <w:lang w:val="zh-CN"/>
              </w:rPr>
              <w:t>3</w:t>
            </w:r>
            <w:r>
              <w:rPr>
                <w:rFonts w:hint="eastAsia" w:ascii="宋体" w:hAnsi="宋体" w:eastAsia="宋体" w:cs="宋体"/>
                <w:bCs/>
                <w:kern w:val="0"/>
                <w:sz w:val="24"/>
                <w:szCs w:val="24"/>
                <w:lang w:val="zh-CN"/>
              </w:rPr>
              <w:t>、工作温度：</w:t>
            </w:r>
            <w:r>
              <w:rPr>
                <w:rFonts w:ascii="宋体" w:hAnsi="宋体" w:eastAsia="宋体" w:cs="宋体"/>
                <w:kern w:val="0"/>
                <w:sz w:val="24"/>
                <w:szCs w:val="24"/>
                <w:lang w:val="zh-CN"/>
              </w:rPr>
              <w:t>-40</w:t>
            </w:r>
            <w:r>
              <w:rPr>
                <w:rFonts w:hint="eastAsia" w:ascii="宋体" w:hAnsi="宋体" w:eastAsia="宋体" w:cs="宋体"/>
                <w:kern w:val="0"/>
                <w:sz w:val="24"/>
                <w:szCs w:val="24"/>
                <w:lang w:val="zh-CN"/>
              </w:rPr>
              <w:t>°</w:t>
            </w:r>
            <w:r>
              <w:rPr>
                <w:rFonts w:ascii="宋体" w:hAnsi="宋体" w:eastAsia="宋体" w:cs="宋体"/>
                <w:kern w:val="0"/>
                <w:sz w:val="24"/>
                <w:szCs w:val="24"/>
                <w:lang w:val="zh-CN"/>
              </w:rPr>
              <w:t>C</w:t>
            </w:r>
            <w:r>
              <w:rPr>
                <w:rFonts w:hint="eastAsia" w:ascii="宋体" w:hAnsi="宋体" w:eastAsia="宋体" w:cs="宋体"/>
                <w:kern w:val="0"/>
                <w:sz w:val="24"/>
                <w:szCs w:val="24"/>
                <w:lang w:val="zh-CN"/>
              </w:rPr>
              <w:t>至</w:t>
            </w:r>
            <w:r>
              <w:rPr>
                <w:rFonts w:ascii="宋体" w:hAnsi="宋体" w:eastAsia="宋体" w:cs="宋体"/>
                <w:kern w:val="0"/>
                <w:sz w:val="24"/>
                <w:szCs w:val="24"/>
              </w:rPr>
              <w:t xml:space="preserve"> +70</w:t>
            </w:r>
            <w:r>
              <w:rPr>
                <w:rFonts w:hint="eastAsia" w:ascii="宋体" w:hAnsi="宋体" w:eastAsia="宋体" w:cs="宋体"/>
                <w:kern w:val="0"/>
                <w:sz w:val="24"/>
                <w:szCs w:val="24"/>
                <w:lang w:val="zh-CN"/>
              </w:rPr>
              <w:t>°</w:t>
            </w:r>
            <w:r>
              <w:rPr>
                <w:rFonts w:ascii="宋体" w:hAnsi="宋体" w:eastAsia="宋体" w:cs="宋体"/>
                <w:kern w:val="0"/>
                <w:sz w:val="24"/>
                <w:szCs w:val="24"/>
                <w:lang w:val="zh-CN"/>
              </w:rPr>
              <w:t>C</w:t>
            </w:r>
          </w:p>
          <w:p>
            <w:pPr>
              <w:widowControl/>
              <w:spacing w:line="360" w:lineRule="auto"/>
              <w:rPr>
                <w:rFonts w:ascii="宋体" w:hAnsi="Calibri" w:eastAsia="宋体" w:cs="宋体"/>
                <w:kern w:val="0"/>
                <w:sz w:val="24"/>
                <w:szCs w:val="24"/>
                <w:lang w:val="zh-CN"/>
              </w:rPr>
            </w:pPr>
            <w:r>
              <w:rPr>
                <w:rFonts w:ascii="宋体" w:hAnsi="宋体" w:eastAsia="宋体" w:cs="宋体"/>
                <w:kern w:val="0"/>
                <w:sz w:val="24"/>
                <w:szCs w:val="24"/>
                <w:lang w:val="zh-CN"/>
              </w:rPr>
              <w:t>4</w:t>
            </w:r>
            <w:r>
              <w:rPr>
                <w:rFonts w:hint="eastAsia" w:ascii="宋体" w:hAnsi="宋体" w:eastAsia="宋体" w:cs="宋体"/>
                <w:kern w:val="0"/>
                <w:sz w:val="24"/>
                <w:szCs w:val="24"/>
                <w:lang w:val="zh-CN"/>
              </w:rPr>
              <w:t>、电池容量：</w:t>
            </w:r>
            <w:r>
              <w:rPr>
                <w:rFonts w:hint="eastAsia" w:ascii="宋体" w:hAnsi="宋体" w:eastAsia="宋体" w:cs="宋体"/>
                <w:sz w:val="24"/>
                <w:szCs w:val="24"/>
              </w:rPr>
              <w:t>≥</w:t>
            </w:r>
            <w:r>
              <w:rPr>
                <w:rFonts w:ascii="宋体" w:hAnsi="宋体" w:eastAsia="宋体" w:cs="宋体"/>
                <w:kern w:val="0"/>
                <w:sz w:val="24"/>
                <w:szCs w:val="24"/>
                <w:lang w:val="zh-CN"/>
              </w:rPr>
              <w:t>2400mAh</w:t>
            </w:r>
          </w:p>
          <w:p>
            <w:pPr>
              <w:widowControl/>
              <w:spacing w:line="360" w:lineRule="auto"/>
              <w:rPr>
                <w:rFonts w:ascii="宋体" w:hAnsi="Calibri" w:eastAsia="宋体" w:cs="宋体"/>
                <w:kern w:val="0"/>
                <w:sz w:val="24"/>
                <w:szCs w:val="24"/>
                <w:lang w:val="zh-CN"/>
              </w:rPr>
            </w:pPr>
            <w:r>
              <w:rPr>
                <w:rFonts w:ascii="宋体" w:hAnsi="宋体" w:eastAsia="宋体" w:cs="宋体"/>
                <w:kern w:val="0"/>
                <w:sz w:val="24"/>
                <w:szCs w:val="24"/>
                <w:lang w:val="zh-CN"/>
              </w:rPr>
              <w:t>5</w:t>
            </w:r>
            <w:r>
              <w:rPr>
                <w:rFonts w:hint="eastAsia" w:ascii="宋体" w:hAnsi="宋体" w:eastAsia="宋体" w:cs="宋体"/>
                <w:kern w:val="0"/>
                <w:sz w:val="24"/>
                <w:szCs w:val="24"/>
                <w:lang w:val="zh-CN"/>
              </w:rPr>
              <w:t>、</w:t>
            </w:r>
            <w:r>
              <w:rPr>
                <w:rFonts w:hint="eastAsia" w:ascii="宋体" w:hAnsi="宋体" w:eastAsia="宋体" w:cs="宋体"/>
                <w:kern w:val="0"/>
                <w:sz w:val="24"/>
                <w:szCs w:val="24"/>
              </w:rPr>
              <w:t>广播</w:t>
            </w:r>
            <w:r>
              <w:rPr>
                <w:rFonts w:hint="eastAsia" w:ascii="宋体" w:hAnsi="宋体" w:eastAsia="宋体" w:cs="宋体"/>
                <w:kern w:val="0"/>
                <w:sz w:val="24"/>
                <w:szCs w:val="24"/>
                <w:lang w:val="zh-CN"/>
              </w:rPr>
              <w:t>间隔</w:t>
            </w:r>
            <w:r>
              <w:rPr>
                <w:rFonts w:ascii="宋体" w:hAnsi="宋体" w:eastAsia="宋体" w:cs="宋体"/>
                <w:kern w:val="0"/>
                <w:sz w:val="24"/>
                <w:szCs w:val="24"/>
              </w:rPr>
              <w:t>100~3</w:t>
            </w:r>
            <w:r>
              <w:rPr>
                <w:rFonts w:ascii="宋体" w:hAnsi="Calibri" w:eastAsia="宋体" w:cs="宋体"/>
                <w:kern w:val="0"/>
                <w:sz w:val="24"/>
                <w:szCs w:val="24"/>
                <w:lang w:val="zh-CN"/>
              </w:rPr>
              <w:t>00</w:t>
            </w:r>
            <w:r>
              <w:rPr>
                <w:rFonts w:hint="eastAsia" w:ascii="宋体" w:hAnsi="宋体" w:eastAsia="宋体" w:cs="宋体"/>
                <w:kern w:val="0"/>
                <w:sz w:val="24"/>
                <w:szCs w:val="24"/>
                <w:lang w:val="zh-CN"/>
              </w:rPr>
              <w:t>毫秒的情况下，续航时间</w:t>
            </w:r>
            <w:r>
              <w:rPr>
                <w:rFonts w:ascii="宋体" w:hAnsi="宋体" w:eastAsia="宋体" w:cs="宋体"/>
                <w:sz w:val="24"/>
                <w:szCs w:val="24"/>
              </w:rPr>
              <w:t>3</w:t>
            </w:r>
            <w:r>
              <w:rPr>
                <w:rFonts w:hint="eastAsia" w:ascii="宋体" w:hAnsi="宋体" w:eastAsia="宋体" w:cs="宋体"/>
                <w:kern w:val="0"/>
                <w:sz w:val="24"/>
                <w:szCs w:val="24"/>
                <w:lang w:val="zh-CN"/>
              </w:rPr>
              <w:t>年</w:t>
            </w:r>
          </w:p>
          <w:p>
            <w:pPr>
              <w:widowControl/>
              <w:spacing w:line="360" w:lineRule="auto"/>
              <w:rPr>
                <w:rFonts w:ascii="宋体" w:hAnsi="Calibri" w:eastAsia="宋体" w:cs="宋体"/>
                <w:bCs/>
                <w:kern w:val="0"/>
                <w:sz w:val="24"/>
                <w:szCs w:val="24"/>
                <w:lang w:val="zh-CN"/>
              </w:rPr>
            </w:pPr>
            <w:r>
              <w:rPr>
                <w:rFonts w:ascii="宋体" w:hAnsi="宋体" w:eastAsia="宋体" w:cs="宋体"/>
                <w:kern w:val="0"/>
                <w:sz w:val="24"/>
                <w:szCs w:val="24"/>
                <w:lang w:val="zh-CN"/>
              </w:rPr>
              <w:t>6</w:t>
            </w:r>
            <w:r>
              <w:rPr>
                <w:rFonts w:hint="eastAsia" w:ascii="宋体" w:hAnsi="宋体" w:eastAsia="宋体" w:cs="宋体"/>
                <w:kern w:val="0"/>
                <w:sz w:val="24"/>
                <w:szCs w:val="24"/>
                <w:lang w:val="zh-CN"/>
              </w:rPr>
              <w:t>、</w:t>
            </w:r>
            <w:r>
              <w:rPr>
                <w:rFonts w:hint="eastAsia" w:ascii="宋体" w:hAnsi="宋体" w:eastAsia="宋体" w:cs="宋体"/>
                <w:sz w:val="24"/>
                <w:szCs w:val="24"/>
              </w:rPr>
              <w:t>支持三种以上安装方式：螺丝、贴胶、挂绳等；</w:t>
            </w:r>
          </w:p>
          <w:p>
            <w:pPr>
              <w:widowControl/>
              <w:spacing w:line="360" w:lineRule="auto"/>
              <w:rPr>
                <w:rFonts w:ascii="宋体" w:hAnsi="Calibri" w:eastAsia="宋体" w:cs="宋体"/>
                <w:b/>
                <w:bCs/>
                <w:kern w:val="0"/>
                <w:sz w:val="24"/>
                <w:szCs w:val="24"/>
                <w:lang w:val="zh-CN"/>
              </w:rPr>
            </w:pPr>
            <w:r>
              <w:rPr>
                <w:rFonts w:ascii="宋体" w:hAnsi="宋体" w:eastAsia="宋体" w:cs="宋体"/>
                <w:kern w:val="0"/>
                <w:sz w:val="24"/>
                <w:szCs w:val="24"/>
                <w:lang w:val="zh-CN"/>
              </w:rPr>
              <w:t>7</w:t>
            </w:r>
            <w:r>
              <w:rPr>
                <w:rFonts w:hint="eastAsia" w:ascii="宋体" w:hAnsi="宋体" w:eastAsia="宋体" w:cs="宋体"/>
                <w:kern w:val="0"/>
                <w:sz w:val="24"/>
                <w:szCs w:val="24"/>
                <w:lang w:val="zh-CN"/>
              </w:rPr>
              <w:t>、支持手机蓝牙定位和微信定位，支持修改蓝牙定位参数，广播间隔，广播功率，设置防篡改密钥等，支持蓝牙低功耗协议栈。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835" w:type="dxa"/>
            <w:vAlign w:val="center"/>
          </w:tcPr>
          <w:p>
            <w:pPr>
              <w:widowControl/>
              <w:spacing w:line="360" w:lineRule="auto"/>
              <w:jc w:val="center"/>
              <w:rPr>
                <w:rFonts w:ascii="宋体" w:hAnsi="Calibri" w:eastAsia="宋体" w:cs="宋体"/>
                <w:b/>
                <w:bCs/>
                <w:kern w:val="0"/>
                <w:sz w:val="24"/>
                <w:szCs w:val="24"/>
                <w:lang w:val="zh-CN"/>
              </w:rPr>
            </w:pPr>
            <w:r>
              <w:rPr>
                <w:rFonts w:ascii="宋体" w:hAnsi="宋体" w:eastAsia="宋体" w:cs="宋体"/>
                <w:b/>
                <w:bCs/>
                <w:kern w:val="0"/>
                <w:sz w:val="24"/>
                <w:szCs w:val="24"/>
                <w:lang w:val="zh-CN"/>
              </w:rPr>
              <w:t>2</w:t>
            </w:r>
          </w:p>
        </w:tc>
        <w:tc>
          <w:tcPr>
            <w:tcW w:w="1450" w:type="dxa"/>
            <w:vAlign w:val="center"/>
          </w:tcPr>
          <w:p>
            <w:pPr>
              <w:widowControl/>
              <w:spacing w:line="360" w:lineRule="auto"/>
              <w:jc w:val="center"/>
              <w:rPr>
                <w:rFonts w:ascii="宋体" w:hAnsi="Calibri" w:eastAsia="宋体" w:cs="宋体"/>
                <w:b/>
                <w:bCs/>
                <w:kern w:val="0"/>
                <w:sz w:val="24"/>
                <w:szCs w:val="24"/>
                <w:lang w:val="zh-CN"/>
              </w:rPr>
            </w:pPr>
            <w:r>
              <w:rPr>
                <w:rFonts w:hint="eastAsia" w:ascii="宋体" w:hAnsi="宋体" w:eastAsia="宋体" w:cs="宋体"/>
                <w:b/>
                <w:bCs/>
                <w:kern w:val="0"/>
                <w:sz w:val="24"/>
                <w:szCs w:val="24"/>
                <w:lang w:val="zh-CN"/>
              </w:rPr>
              <w:t>定位引擎</w:t>
            </w:r>
          </w:p>
        </w:tc>
        <w:tc>
          <w:tcPr>
            <w:tcW w:w="6438" w:type="dxa"/>
            <w:vAlign w:val="center"/>
          </w:tcPr>
          <w:p>
            <w:pPr>
              <w:widowControl/>
              <w:numPr>
                <w:ilvl w:val="0"/>
                <w:numId w:val="14"/>
              </w:numPr>
              <w:spacing w:line="360" w:lineRule="auto"/>
              <w:rPr>
                <w:rFonts w:ascii="宋体" w:hAnsi="Calibri" w:eastAsia="宋体" w:cs="宋体"/>
                <w:bCs/>
                <w:kern w:val="0"/>
                <w:sz w:val="24"/>
                <w:szCs w:val="24"/>
                <w:lang w:val="zh-CN"/>
              </w:rPr>
            </w:pPr>
            <w:r>
              <w:rPr>
                <w:rFonts w:hint="eastAsia" w:ascii="宋体" w:hAnsi="宋体" w:eastAsia="宋体" w:cs="宋体"/>
                <w:bCs/>
                <w:kern w:val="0"/>
                <w:sz w:val="24"/>
                <w:szCs w:val="24"/>
                <w:lang w:val="zh-CN"/>
              </w:rPr>
              <w:t>定位精度：</w:t>
            </w:r>
            <w:r>
              <w:rPr>
                <w:rFonts w:ascii="宋体" w:hAnsi="宋体" w:eastAsia="宋体" w:cs="宋体"/>
                <w:bCs/>
                <w:kern w:val="0"/>
                <w:sz w:val="24"/>
                <w:szCs w:val="24"/>
                <w:lang w:val="zh-CN"/>
              </w:rPr>
              <w:t>1-3</w:t>
            </w:r>
            <w:r>
              <w:rPr>
                <w:rFonts w:hint="eastAsia" w:ascii="宋体" w:hAnsi="宋体" w:eastAsia="宋体" w:cs="宋体"/>
                <w:bCs/>
                <w:kern w:val="0"/>
                <w:sz w:val="24"/>
                <w:szCs w:val="24"/>
                <w:lang w:val="zh-CN"/>
              </w:rPr>
              <w:t>米</w:t>
            </w:r>
          </w:p>
          <w:p>
            <w:pPr>
              <w:widowControl/>
              <w:numPr>
                <w:ilvl w:val="0"/>
                <w:numId w:val="14"/>
              </w:numPr>
              <w:spacing w:line="360" w:lineRule="auto"/>
              <w:rPr>
                <w:rFonts w:ascii="宋体" w:hAnsi="Calibri" w:eastAsia="宋体" w:cs="宋体"/>
                <w:bCs/>
                <w:kern w:val="0"/>
                <w:sz w:val="24"/>
                <w:szCs w:val="24"/>
                <w:lang w:val="zh-CN"/>
              </w:rPr>
            </w:pPr>
            <w:r>
              <w:rPr>
                <w:rFonts w:hint="eastAsia" w:ascii="宋体" w:hAnsi="宋体" w:eastAsia="宋体" w:cs="宋体"/>
                <w:bCs/>
                <w:kern w:val="0"/>
                <w:sz w:val="24"/>
                <w:szCs w:val="24"/>
                <w:lang w:val="zh-CN"/>
              </w:rPr>
              <w:t>定位时间延迟：</w:t>
            </w:r>
            <w:r>
              <w:rPr>
                <w:rFonts w:hint="eastAsia" w:ascii="宋体" w:hAnsi="宋体" w:eastAsia="宋体" w:cs="宋体"/>
                <w:bCs/>
                <w:kern w:val="0"/>
                <w:sz w:val="24"/>
                <w:szCs w:val="24"/>
              </w:rPr>
              <w:t>≤</w:t>
            </w:r>
            <w:r>
              <w:rPr>
                <w:rFonts w:ascii="宋体" w:hAnsi="宋体" w:eastAsia="宋体" w:cs="宋体"/>
                <w:bCs/>
                <w:kern w:val="0"/>
                <w:sz w:val="24"/>
                <w:szCs w:val="24"/>
              </w:rPr>
              <w:t>2</w:t>
            </w:r>
            <w:r>
              <w:rPr>
                <w:rFonts w:hint="eastAsia" w:ascii="宋体" w:hAnsi="宋体" w:eastAsia="宋体" w:cs="宋体"/>
                <w:bCs/>
                <w:kern w:val="0"/>
                <w:sz w:val="24"/>
                <w:szCs w:val="24"/>
              </w:rPr>
              <w:t>秒</w:t>
            </w:r>
          </w:p>
          <w:p>
            <w:pPr>
              <w:widowControl/>
              <w:numPr>
                <w:ilvl w:val="0"/>
                <w:numId w:val="14"/>
              </w:numPr>
              <w:spacing w:line="360" w:lineRule="auto"/>
              <w:rPr>
                <w:rFonts w:ascii="宋体" w:hAnsi="Calibri" w:eastAsia="宋体" w:cs="宋体"/>
                <w:bCs/>
                <w:kern w:val="0"/>
                <w:sz w:val="24"/>
                <w:szCs w:val="24"/>
                <w:lang w:val="zh-CN"/>
              </w:rPr>
            </w:pPr>
            <w:r>
              <w:rPr>
                <w:rFonts w:hint="eastAsia" w:ascii="宋体" w:hAnsi="宋体" w:eastAsia="宋体" w:cs="宋体"/>
                <w:bCs/>
                <w:kern w:val="0"/>
                <w:sz w:val="24"/>
                <w:szCs w:val="24"/>
              </w:rPr>
              <w:t>定位算法：三角定位算法</w:t>
            </w:r>
          </w:p>
        </w:tc>
      </w:tr>
      <w:bookmarkEnd w:id="3"/>
    </w:tbl>
    <w:p>
      <w:bookmarkStart w:id="4" w:name="_Toc17580473"/>
      <w:r>
        <w:rPr>
          <w:rFonts w:hint="eastAsia"/>
        </w:rPr>
        <w:br w:type="page"/>
      </w:r>
    </w:p>
    <w:p>
      <w:pPr>
        <w:pStyle w:val="5"/>
        <w:tabs>
          <w:tab w:val="left" w:pos="426"/>
          <w:tab w:val="left" w:pos="993"/>
        </w:tabs>
        <w:rPr>
          <w:sz w:val="28"/>
          <w:szCs w:val="18"/>
        </w:rPr>
      </w:pPr>
      <w:r>
        <w:rPr>
          <w:rFonts w:hint="eastAsia"/>
          <w:sz w:val="28"/>
          <w:szCs w:val="18"/>
        </w:rPr>
        <w:t>院内智能导航应用</w:t>
      </w:r>
      <w:bookmarkEnd w:id="4"/>
    </w:p>
    <w:tbl>
      <w:tblPr>
        <w:tblStyle w:val="5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49"/>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6"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序号</w:t>
            </w:r>
          </w:p>
        </w:tc>
        <w:tc>
          <w:tcPr>
            <w:tcW w:w="1449"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功能名称</w:t>
            </w:r>
          </w:p>
        </w:tc>
        <w:tc>
          <w:tcPr>
            <w:tcW w:w="6436" w:type="dxa"/>
            <w:vAlign w:val="center"/>
          </w:tcPr>
          <w:p>
            <w:pPr>
              <w:spacing w:line="360" w:lineRule="auto"/>
              <w:jc w:val="center"/>
              <w:rPr>
                <w:rFonts w:ascii="宋体" w:hAnsi="Calibri" w:eastAsia="宋体" w:cs="宋体"/>
                <w:b/>
                <w:sz w:val="24"/>
                <w:szCs w:val="24"/>
              </w:rPr>
            </w:pPr>
            <w:r>
              <w:rPr>
                <w:rFonts w:hint="eastAsia" w:ascii="宋体" w:hAnsi="宋体" w:eastAsia="宋体" w:cs="宋体"/>
                <w:b/>
                <w:bCs/>
                <w:kern w:val="0"/>
                <w:sz w:val="24"/>
                <w:szCs w:val="24"/>
                <w:lang w:val="zh-CN"/>
              </w:rPr>
              <w:t>技术指标参数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1</w:t>
            </w:r>
          </w:p>
        </w:tc>
        <w:tc>
          <w:tcPr>
            <w:tcW w:w="1449"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地图</w:t>
            </w:r>
          </w:p>
        </w:tc>
        <w:tc>
          <w:tcPr>
            <w:tcW w:w="643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1、室内外地图融合，全院区多楼栋统一展示，室内向量地图采用国际标准的WGS-84规范；</w:t>
            </w:r>
          </w:p>
          <w:p>
            <w:pPr>
              <w:spacing w:line="360" w:lineRule="auto"/>
              <w:rPr>
                <w:rFonts w:ascii="宋体" w:hAnsi="宋体" w:eastAsia="宋体" w:cs="宋体"/>
                <w:sz w:val="24"/>
                <w:szCs w:val="24"/>
              </w:rPr>
            </w:pPr>
            <w:r>
              <w:rPr>
                <w:rFonts w:hint="eastAsia" w:ascii="宋体" w:hAnsi="宋体" w:eastAsia="宋体" w:cs="宋体"/>
                <w:sz w:val="24"/>
                <w:szCs w:val="24"/>
              </w:rPr>
              <w:t>2、采用3D向量地图，地图可随前进方向自动旋转，地图旋转时，字体不跟着旋转，保持字体正向显示；</w:t>
            </w:r>
          </w:p>
          <w:p>
            <w:pPr>
              <w:spacing w:line="360" w:lineRule="auto"/>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支持指南针控件、2D/3D切换控件、楼层切换控件、定位控件、缩放控件、搜索栏控件。</w:t>
            </w:r>
          </w:p>
          <w:p>
            <w:pPr>
              <w:spacing w:line="360" w:lineRule="auto"/>
              <w:rPr>
                <w:rFonts w:ascii="宋体" w:hAnsi="宋体" w:eastAsia="宋体" w:cs="宋体"/>
                <w:sz w:val="24"/>
                <w:szCs w:val="24"/>
                <w:lang w:val="zh-CN"/>
              </w:rPr>
            </w:pPr>
            <w:r>
              <w:rPr>
                <w:rFonts w:hint="eastAsia" w:ascii="宋体" w:hAnsi="宋体" w:eastAsia="宋体" w:cs="宋体"/>
                <w:sz w:val="24"/>
                <w:szCs w:val="24"/>
              </w:rPr>
              <w:t>4、3D地图支持墙体拔高，使地图更直观真实。</w:t>
            </w:r>
          </w:p>
          <w:p>
            <w:pPr>
              <w:spacing w:line="360" w:lineRule="auto"/>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支持地图定制化配色，可以由院方提供配色要求。必须展示5种以上的配色案例；</w:t>
            </w:r>
          </w:p>
          <w:p>
            <w:pPr>
              <w:spacing w:line="360" w:lineRule="auto"/>
              <w:rPr>
                <w:rFonts w:ascii="宋体" w:hAnsi="宋体" w:eastAsia="宋体" w:cs="宋体"/>
                <w:sz w:val="24"/>
                <w:szCs w:val="24"/>
              </w:rPr>
            </w:pPr>
            <w:r>
              <w:rPr>
                <w:rFonts w:hint="eastAsia" w:ascii="宋体" w:hAnsi="宋体" w:eastAsia="宋体" w:cs="宋体"/>
                <w:sz w:val="24"/>
                <w:szCs w:val="24"/>
              </w:rPr>
              <w:t>6、能提供WEB端工具直接对向量地图进行渲染美化，提供WEB端工具页面截图；</w:t>
            </w:r>
          </w:p>
          <w:p>
            <w:pPr>
              <w:spacing w:line="360" w:lineRule="auto"/>
              <w:rPr>
                <w:rFonts w:eastAsia="宋体"/>
              </w:rPr>
            </w:pPr>
            <w:r>
              <w:rPr>
                <w:rFonts w:hint="eastAsia" w:ascii="宋体" w:hAnsi="宋体" w:eastAsia="宋体" w:cs="宋体"/>
                <w:sz w:val="24"/>
                <w:szCs w:val="24"/>
              </w:rPr>
              <w:t>7、系统支持多楼层展示，可在应用界面上直接展示多楼层视图。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2</w:t>
            </w:r>
          </w:p>
        </w:tc>
        <w:tc>
          <w:tcPr>
            <w:tcW w:w="1449"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POI</w:t>
            </w:r>
          </w:p>
          <w:p>
            <w:pPr>
              <w:spacing w:line="360" w:lineRule="auto"/>
              <w:jc w:val="center"/>
              <w:rPr>
                <w:rFonts w:ascii="宋体" w:hAnsi="Calibri" w:eastAsia="宋体" w:cs="宋体"/>
                <w:b/>
                <w:sz w:val="24"/>
                <w:szCs w:val="24"/>
              </w:rPr>
            </w:pPr>
            <w:r>
              <w:rPr>
                <w:rFonts w:ascii="宋体" w:hAnsi="宋体" w:eastAsia="宋体" w:cs="宋体"/>
                <w:b/>
                <w:sz w:val="24"/>
                <w:szCs w:val="24"/>
              </w:rPr>
              <w:t>(</w:t>
            </w:r>
            <w:r>
              <w:rPr>
                <w:rFonts w:hint="eastAsia" w:ascii="宋体" w:hAnsi="宋体" w:eastAsia="宋体" w:cs="宋体"/>
                <w:b/>
                <w:sz w:val="24"/>
                <w:szCs w:val="24"/>
              </w:rPr>
              <w:t>兴趣点</w:t>
            </w:r>
            <w:r>
              <w:rPr>
                <w:rFonts w:ascii="宋体" w:hAnsi="宋体" w:eastAsia="宋体" w:cs="宋体"/>
                <w:b/>
                <w:sz w:val="24"/>
                <w:szCs w:val="24"/>
              </w:rPr>
              <w:t>)</w:t>
            </w:r>
          </w:p>
        </w:tc>
        <w:tc>
          <w:tcPr>
            <w:tcW w:w="6436" w:type="dxa"/>
            <w:vAlign w:val="center"/>
          </w:tcPr>
          <w:p>
            <w:pPr>
              <w:spacing w:line="360" w:lineRule="auto"/>
              <w:rPr>
                <w:rFonts w:ascii="宋体" w:hAnsi="Calibri"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POI</w:t>
            </w:r>
            <w:r>
              <w:rPr>
                <w:rFonts w:hint="eastAsia" w:ascii="宋体" w:hAnsi="宋体" w:eastAsia="宋体" w:cs="宋体"/>
                <w:sz w:val="24"/>
                <w:szCs w:val="24"/>
              </w:rPr>
              <w:t>的分类：基于楼栋，基于楼层，基于科室名称，不同类型的功能设施（如自助挂号机、自助缴费机、自助报告打印机、自助取号机、自助售货机、卫生间、哺乳间、茶水间、共享轮椅、</w:t>
            </w:r>
            <w:r>
              <w:rPr>
                <w:rFonts w:ascii="宋体" w:hAnsi="宋体" w:eastAsia="宋体" w:cs="宋体"/>
                <w:sz w:val="24"/>
                <w:szCs w:val="24"/>
              </w:rPr>
              <w:t>ATM</w:t>
            </w:r>
            <w:r>
              <w:rPr>
                <w:rFonts w:hint="eastAsia" w:ascii="宋体" w:hAnsi="宋体" w:eastAsia="宋体" w:cs="宋体"/>
                <w:sz w:val="24"/>
                <w:szCs w:val="24"/>
              </w:rPr>
              <w:t>机、寄存柜、电梯、手扶梯）等；</w:t>
            </w:r>
          </w:p>
          <w:p>
            <w:pPr>
              <w:spacing w:line="360" w:lineRule="auto"/>
              <w:rPr>
                <w:rFonts w:ascii="宋体" w:hAnsi="Calibri"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POI</w:t>
            </w:r>
            <w:r>
              <w:rPr>
                <w:rFonts w:hint="eastAsia" w:ascii="宋体" w:hAnsi="宋体" w:eastAsia="宋体" w:cs="宋体"/>
                <w:sz w:val="24"/>
                <w:szCs w:val="24"/>
              </w:rPr>
              <w:t>的信息：包括名称，经度，纬度，楼层，属性等；</w:t>
            </w:r>
          </w:p>
          <w:p>
            <w:pPr>
              <w:spacing w:line="360" w:lineRule="auto"/>
              <w:rPr>
                <w:rFonts w:ascii="宋体" w:hAnsi="Calibri"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w:t>
            </w:r>
            <w:r>
              <w:rPr>
                <w:rFonts w:ascii="宋体" w:hAnsi="宋体" w:eastAsia="宋体" w:cs="宋体"/>
                <w:sz w:val="24"/>
                <w:szCs w:val="24"/>
              </w:rPr>
              <w:t>POI</w:t>
            </w:r>
            <w:r>
              <w:rPr>
                <w:rFonts w:hint="eastAsia" w:ascii="宋体" w:hAnsi="宋体" w:eastAsia="宋体" w:cs="宋体"/>
                <w:sz w:val="24"/>
                <w:szCs w:val="24"/>
              </w:rPr>
              <w:t>的查询：直接从分类表中选择，支持手工输入，语音输入等；</w:t>
            </w:r>
          </w:p>
          <w:p>
            <w:pPr>
              <w:spacing w:line="360" w:lineRule="auto"/>
              <w:rPr>
                <w:rFonts w:ascii="宋体" w:hAnsi="Calibri"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kern w:val="0"/>
                <w:sz w:val="24"/>
                <w:szCs w:val="24"/>
              </w:rPr>
              <w:t>提供专业的</w:t>
            </w:r>
            <w:r>
              <w:rPr>
                <w:rFonts w:ascii="宋体" w:hAnsi="宋体" w:eastAsia="宋体" w:cs="宋体"/>
                <w:kern w:val="0"/>
                <w:sz w:val="24"/>
                <w:szCs w:val="24"/>
              </w:rPr>
              <w:t>POI(</w:t>
            </w:r>
            <w:r>
              <w:rPr>
                <w:rFonts w:hint="eastAsia" w:ascii="宋体" w:hAnsi="宋体" w:eastAsia="宋体" w:cs="宋体"/>
                <w:kern w:val="0"/>
                <w:sz w:val="24"/>
                <w:szCs w:val="24"/>
              </w:rPr>
              <w:t>兴趣点</w:t>
            </w:r>
            <w:r>
              <w:rPr>
                <w:rFonts w:ascii="宋体" w:hAnsi="宋体" w:eastAsia="宋体" w:cs="宋体"/>
                <w:kern w:val="0"/>
                <w:sz w:val="24"/>
                <w:szCs w:val="24"/>
              </w:rPr>
              <w:t>)</w:t>
            </w:r>
            <w:r>
              <w:rPr>
                <w:rFonts w:hint="eastAsia" w:ascii="宋体" w:hAnsi="宋体" w:eastAsia="宋体" w:cs="宋体"/>
                <w:kern w:val="0"/>
                <w:sz w:val="24"/>
                <w:szCs w:val="24"/>
              </w:rPr>
              <w:t>校准</w:t>
            </w:r>
            <w:r>
              <w:rPr>
                <w:rFonts w:ascii="宋体" w:hAnsi="宋体" w:eastAsia="宋体" w:cs="宋体"/>
                <w:kern w:val="0"/>
                <w:sz w:val="24"/>
                <w:szCs w:val="24"/>
              </w:rPr>
              <w:t>APP</w:t>
            </w:r>
            <w:r>
              <w:rPr>
                <w:rFonts w:hint="eastAsia" w:ascii="宋体" w:hAnsi="宋体" w:eastAsia="宋体" w:cs="宋体"/>
                <w:kern w:val="0"/>
                <w:sz w:val="24"/>
                <w:szCs w:val="24"/>
              </w:rPr>
              <w:t>进行科室信息校对，且用户自己可以通过</w:t>
            </w:r>
            <w:r>
              <w:rPr>
                <w:rFonts w:ascii="宋体" w:hAnsi="宋体" w:eastAsia="宋体" w:cs="宋体"/>
                <w:kern w:val="0"/>
                <w:sz w:val="24"/>
                <w:szCs w:val="24"/>
              </w:rPr>
              <w:t>APP</w:t>
            </w:r>
            <w:r>
              <w:rPr>
                <w:rFonts w:hint="eastAsia" w:ascii="宋体" w:hAnsi="宋体" w:eastAsia="宋体" w:cs="宋体"/>
                <w:kern w:val="0"/>
                <w:sz w:val="24"/>
                <w:szCs w:val="24"/>
              </w:rPr>
              <w:t>工具对</w:t>
            </w:r>
            <w:r>
              <w:rPr>
                <w:rFonts w:ascii="宋体" w:hAnsi="宋体" w:eastAsia="宋体" w:cs="宋体"/>
                <w:kern w:val="0"/>
                <w:sz w:val="24"/>
                <w:szCs w:val="24"/>
              </w:rPr>
              <w:t>POI</w:t>
            </w:r>
            <w:r>
              <w:rPr>
                <w:rFonts w:hint="eastAsia" w:ascii="宋体" w:hAnsi="宋体" w:eastAsia="宋体" w:cs="宋体"/>
                <w:kern w:val="0"/>
                <w:sz w:val="24"/>
                <w:szCs w:val="24"/>
              </w:rPr>
              <w:t>信息进行增删或修改。</w:t>
            </w:r>
          </w:p>
          <w:p>
            <w:pPr>
              <w:spacing w:line="360" w:lineRule="auto"/>
              <w:rPr>
                <w:rFonts w:ascii="宋体" w:hAnsi="Calibri"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bCs/>
                <w:sz w:val="24"/>
                <w:szCs w:val="24"/>
              </w:rPr>
              <w:t>提供</w:t>
            </w:r>
            <w:r>
              <w:rPr>
                <w:rFonts w:ascii="宋体" w:hAnsi="宋体" w:eastAsia="宋体" w:cs="宋体"/>
                <w:bCs/>
                <w:sz w:val="24"/>
                <w:szCs w:val="24"/>
              </w:rPr>
              <w:t>POI</w:t>
            </w:r>
            <w:r>
              <w:rPr>
                <w:rFonts w:hint="eastAsia" w:ascii="宋体" w:hAnsi="宋体" w:eastAsia="宋体" w:cs="宋体"/>
                <w:bCs/>
                <w:sz w:val="24"/>
                <w:szCs w:val="24"/>
              </w:rPr>
              <w:t>分类表及查询功能的小程序页面截图；</w:t>
            </w:r>
          </w:p>
          <w:p>
            <w:pPr>
              <w:spacing w:line="360" w:lineRule="auto"/>
              <w:rPr>
                <w:rFonts w:ascii="宋体" w:hAnsi="Calibri"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、确认初始定位后，</w:t>
            </w:r>
            <w:r>
              <w:rPr>
                <w:rFonts w:ascii="宋体" w:hAnsi="宋体" w:eastAsia="宋体" w:cs="宋体"/>
                <w:sz w:val="24"/>
                <w:szCs w:val="24"/>
              </w:rPr>
              <w:t>POI</w:t>
            </w:r>
            <w:r>
              <w:rPr>
                <w:rFonts w:hint="eastAsia" w:ascii="宋体" w:hAnsi="宋体" w:eastAsia="宋体" w:cs="宋体"/>
                <w:sz w:val="24"/>
                <w:szCs w:val="24"/>
              </w:rPr>
              <w:t>兴趣点可以按照由近至远自动进行排序</w:t>
            </w:r>
            <w:r>
              <w:rPr>
                <w:rFonts w:hint="eastAsia" w:ascii="宋体" w:hAnsi="宋体" w:eastAsia="宋体" w:cs="宋体"/>
                <w:b/>
                <w:sz w:val="24"/>
                <w:szCs w:val="24"/>
              </w:rPr>
              <w:t>；</w:t>
            </w:r>
          </w:p>
          <w:p>
            <w:pPr>
              <w:spacing w:line="360" w:lineRule="auto"/>
              <w:rPr>
                <w:rFonts w:ascii="宋体" w:hAnsi="Calibri"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、地图上</w:t>
            </w:r>
            <w:r>
              <w:rPr>
                <w:rFonts w:ascii="宋体" w:hAnsi="宋体" w:eastAsia="宋体" w:cs="宋体"/>
                <w:sz w:val="24"/>
                <w:szCs w:val="24"/>
              </w:rPr>
              <w:t>POI</w:t>
            </w:r>
            <w:r>
              <w:rPr>
                <w:rFonts w:hint="eastAsia" w:ascii="宋体" w:hAnsi="宋体" w:eastAsia="宋体" w:cs="宋体"/>
                <w:sz w:val="24"/>
                <w:szCs w:val="24"/>
              </w:rPr>
              <w:t>的名称、经度、纬度、楼层、属性等数据能以</w:t>
            </w:r>
            <w:r>
              <w:rPr>
                <w:rFonts w:ascii="宋体" w:hAnsi="宋体" w:eastAsia="宋体" w:cs="宋体"/>
                <w:sz w:val="24"/>
                <w:szCs w:val="24"/>
              </w:rPr>
              <w:t>Excel</w:t>
            </w:r>
            <w:r>
              <w:rPr>
                <w:rFonts w:hint="eastAsia" w:ascii="宋体" w:hAnsi="宋体" w:eastAsia="宋体" w:cs="宋体"/>
                <w:sz w:val="24"/>
                <w:szCs w:val="24"/>
              </w:rPr>
              <w:t>表的方式导出，用于管理者决策分析。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3</w:t>
            </w:r>
          </w:p>
        </w:tc>
        <w:tc>
          <w:tcPr>
            <w:tcW w:w="1449"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科室检索</w:t>
            </w:r>
          </w:p>
        </w:tc>
        <w:tc>
          <w:tcPr>
            <w:tcW w:w="6436" w:type="dxa"/>
            <w:vAlign w:val="center"/>
          </w:tcPr>
          <w:p>
            <w:pPr>
              <w:spacing w:line="360" w:lineRule="auto"/>
              <w:rPr>
                <w:rFonts w:ascii="宋体" w:hAnsi="Calibri" w:eastAsia="宋体" w:cs="宋体"/>
                <w:kern w:val="0"/>
                <w:sz w:val="24"/>
                <w:szCs w:val="24"/>
                <w:lang w:val="zh-CN"/>
              </w:rPr>
            </w:pPr>
            <w:r>
              <w:rPr>
                <w:rFonts w:ascii="宋体" w:hAnsi="宋体" w:eastAsia="宋体" w:cs="宋体"/>
                <w:kern w:val="0"/>
                <w:sz w:val="24"/>
                <w:szCs w:val="24"/>
                <w:lang w:val="zh-CN"/>
              </w:rPr>
              <w:t>1</w:t>
            </w:r>
            <w:r>
              <w:rPr>
                <w:rFonts w:hint="eastAsia" w:ascii="宋体" w:hAnsi="宋体" w:eastAsia="宋体" w:cs="宋体"/>
                <w:kern w:val="0"/>
                <w:sz w:val="24"/>
                <w:szCs w:val="24"/>
                <w:lang w:val="zh-CN"/>
              </w:rPr>
              <w:t>、应用具有科室导航页，可为患者提供挂号、缴费、取药、抽血、输液、取报告的快捷按钮，并且有所有科室的列表。</w:t>
            </w:r>
          </w:p>
          <w:p>
            <w:pPr>
              <w:spacing w:line="360" w:lineRule="auto"/>
              <w:rPr>
                <w:rFonts w:ascii="宋体" w:hAnsi="Calibri" w:eastAsia="宋体" w:cs="宋体"/>
                <w:kern w:val="0"/>
                <w:sz w:val="24"/>
                <w:szCs w:val="24"/>
                <w:lang w:val="zh-CN"/>
              </w:rPr>
            </w:pPr>
            <w:r>
              <w:rPr>
                <w:rFonts w:ascii="宋体" w:hAnsi="宋体" w:eastAsia="宋体" w:cs="宋体"/>
                <w:kern w:val="0"/>
                <w:sz w:val="24"/>
                <w:szCs w:val="24"/>
                <w:lang w:val="zh-CN"/>
              </w:rPr>
              <w:t>2</w:t>
            </w:r>
            <w:r>
              <w:rPr>
                <w:rFonts w:hint="eastAsia" w:ascii="宋体" w:hAnsi="宋体" w:eastAsia="宋体" w:cs="宋体"/>
                <w:kern w:val="0"/>
                <w:sz w:val="24"/>
                <w:szCs w:val="24"/>
                <w:lang w:val="zh-CN"/>
              </w:rPr>
              <w:t>、支持模糊搜索，比如搜索“血”，会出现所有和血相关的目标科室，比如抽血、配血、血压、血液病房、心血管内科等。患者一般无法记住科室的全称，模糊搜索可以提高患者找到目标科室的成功率。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4</w:t>
            </w:r>
          </w:p>
        </w:tc>
        <w:tc>
          <w:tcPr>
            <w:tcW w:w="1449"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路径规划</w:t>
            </w:r>
          </w:p>
        </w:tc>
        <w:tc>
          <w:tcPr>
            <w:tcW w:w="6436" w:type="dxa"/>
            <w:vAlign w:val="center"/>
          </w:tcPr>
          <w:p>
            <w:pPr>
              <w:spacing w:line="360" w:lineRule="auto"/>
              <w:rPr>
                <w:rFonts w:ascii="宋体" w:hAnsi="Calibri" w:eastAsia="宋体" w:cs="宋体"/>
                <w:kern w:val="0"/>
                <w:sz w:val="24"/>
                <w:szCs w:val="24"/>
                <w:lang w:val="zh-CN"/>
              </w:rPr>
            </w:pPr>
            <w:r>
              <w:rPr>
                <w:rFonts w:hint="eastAsia" w:ascii="宋体" w:hAnsi="宋体" w:eastAsia="宋体" w:cs="宋体"/>
                <w:sz w:val="24"/>
                <w:szCs w:val="21"/>
              </w:rPr>
              <w:t>支持直梯模式、楼梯模式和手扶梯模式三种路径规划方式，并可根据用户实际位置智能推荐最适合模式，且导航中可随时切换模式。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5</w:t>
            </w:r>
          </w:p>
        </w:tc>
        <w:tc>
          <w:tcPr>
            <w:tcW w:w="1449"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定位技术</w:t>
            </w:r>
          </w:p>
        </w:tc>
        <w:tc>
          <w:tcPr>
            <w:tcW w:w="6436" w:type="dxa"/>
            <w:vAlign w:val="center"/>
          </w:tcPr>
          <w:p>
            <w:pPr>
              <w:spacing w:line="360" w:lineRule="auto"/>
              <w:rPr>
                <w:rFonts w:ascii="宋体" w:hAnsi="Calibri"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APP</w:t>
            </w:r>
            <w:r>
              <w:rPr>
                <w:rFonts w:hint="eastAsia" w:ascii="宋体" w:hAnsi="宋体" w:eastAsia="宋体" w:cs="宋体"/>
                <w:sz w:val="24"/>
                <w:szCs w:val="24"/>
              </w:rPr>
              <w:t>模式下支持离线定位，在实际导航过程中，手机无须任何形式网络连接（</w:t>
            </w:r>
            <w:r>
              <w:rPr>
                <w:rFonts w:ascii="宋体" w:hAnsi="宋体" w:eastAsia="宋体" w:cs="宋体"/>
                <w:sz w:val="24"/>
                <w:szCs w:val="24"/>
              </w:rPr>
              <w:t>3G/4G/WIFI</w:t>
            </w:r>
            <w:r>
              <w:rPr>
                <w:rFonts w:hint="eastAsia" w:ascii="宋体" w:hAnsi="宋体" w:eastAsia="宋体" w:cs="宋体"/>
                <w:sz w:val="24"/>
                <w:szCs w:val="24"/>
              </w:rPr>
              <w:t>等），在蓝牙</w:t>
            </w:r>
            <w:r>
              <w:rPr>
                <w:rFonts w:ascii="宋体" w:hAnsi="宋体" w:eastAsia="宋体" w:cs="宋体"/>
                <w:sz w:val="24"/>
                <w:szCs w:val="24"/>
              </w:rPr>
              <w:t xml:space="preserve">BLE </w:t>
            </w:r>
            <w:r>
              <w:rPr>
                <w:rFonts w:hint="eastAsia" w:ascii="宋体" w:hAnsi="宋体" w:eastAsia="宋体" w:cs="宋体"/>
                <w:sz w:val="24"/>
                <w:szCs w:val="24"/>
              </w:rPr>
              <w:t>架构下</w:t>
            </w:r>
            <w:r>
              <w:rPr>
                <w:rFonts w:ascii="宋体" w:hAnsi="Calibri" w:eastAsia="宋体" w:cs="宋体"/>
                <w:sz w:val="24"/>
                <w:szCs w:val="24"/>
              </w:rPr>
              <w:t>,</w:t>
            </w:r>
            <w:r>
              <w:rPr>
                <w:rFonts w:hint="eastAsia" w:ascii="宋体" w:hAnsi="宋体" w:eastAsia="宋体" w:cs="宋体"/>
                <w:sz w:val="24"/>
                <w:szCs w:val="24"/>
              </w:rPr>
              <w:t>要求平均达到</w:t>
            </w:r>
            <w:r>
              <w:rPr>
                <w:rFonts w:ascii="宋体" w:hAnsi="宋体" w:eastAsia="宋体" w:cs="宋体"/>
                <w:sz w:val="24"/>
                <w:szCs w:val="24"/>
              </w:rPr>
              <w:t xml:space="preserve"> 1~3 </w:t>
            </w:r>
            <w:r>
              <w:rPr>
                <w:rFonts w:hint="eastAsia" w:ascii="宋体" w:hAnsi="宋体" w:eastAsia="宋体" w:cs="宋体"/>
                <w:sz w:val="24"/>
                <w:szCs w:val="24"/>
              </w:rPr>
              <w:t>米的定位精度，定位延时</w:t>
            </w:r>
            <w:r>
              <w:rPr>
                <w:rFonts w:ascii="宋体" w:hAnsi="宋体" w:eastAsia="宋体" w:cs="宋体"/>
                <w:sz w:val="24"/>
                <w:szCs w:val="24"/>
              </w:rPr>
              <w:t>3s</w:t>
            </w:r>
            <w:r>
              <w:rPr>
                <w:rFonts w:hint="eastAsia" w:ascii="宋体" w:hAnsi="宋体" w:eastAsia="宋体" w:cs="宋体"/>
                <w:sz w:val="24"/>
                <w:szCs w:val="24"/>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6</w:t>
            </w:r>
          </w:p>
        </w:tc>
        <w:tc>
          <w:tcPr>
            <w:tcW w:w="1449"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室内导航</w:t>
            </w:r>
          </w:p>
        </w:tc>
        <w:tc>
          <w:tcPr>
            <w:tcW w:w="6436" w:type="dxa"/>
            <w:vAlign w:val="center"/>
          </w:tcPr>
          <w:p>
            <w:pPr>
              <w:spacing w:line="360" w:lineRule="auto"/>
              <w:rPr>
                <w:rFonts w:ascii="宋体" w:hAnsi="Calibri"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、支持跨楼层和跨楼栋实时导航，全程语音播报</w:t>
            </w:r>
          </w:p>
          <w:p>
            <w:pPr>
              <w:spacing w:line="360" w:lineRule="auto"/>
              <w:rPr>
                <w:rFonts w:ascii="宋体" w:hAnsi="Calibri"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、支持模拟导航，如果不在医院也可以搜索相应路线，并进行模拟导航；</w:t>
            </w:r>
          </w:p>
          <w:p>
            <w:pPr>
              <w:spacing w:line="360" w:lineRule="auto"/>
              <w:rPr>
                <w:rFonts w:ascii="宋体" w:hAnsi="Calibri"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、导航时地图自动缩放至合适大小，并且上下手扶梯</w:t>
            </w:r>
            <w:r>
              <w:rPr>
                <w:rFonts w:ascii="宋体" w:hAnsi="宋体" w:eastAsia="宋体" w:cs="宋体"/>
                <w:sz w:val="24"/>
                <w:szCs w:val="24"/>
              </w:rPr>
              <w:t>/</w:t>
            </w:r>
            <w:r>
              <w:rPr>
                <w:rFonts w:hint="eastAsia" w:ascii="宋体" w:hAnsi="宋体" w:eastAsia="宋体" w:cs="宋体"/>
                <w:sz w:val="24"/>
                <w:szCs w:val="24"/>
              </w:rPr>
              <w:t>楼梯以及电梯时，显示手扶梯</w:t>
            </w:r>
            <w:r>
              <w:rPr>
                <w:rFonts w:ascii="宋体" w:hAnsi="宋体" w:eastAsia="宋体" w:cs="宋体"/>
                <w:sz w:val="24"/>
                <w:szCs w:val="24"/>
              </w:rPr>
              <w:t>/</w:t>
            </w:r>
            <w:r>
              <w:rPr>
                <w:rFonts w:hint="eastAsia" w:ascii="宋体" w:hAnsi="宋体" w:eastAsia="宋体" w:cs="宋体"/>
                <w:sz w:val="24"/>
                <w:szCs w:val="24"/>
              </w:rPr>
              <w:t>楼梯以及电梯实景照片以辅助导航；</w:t>
            </w:r>
          </w:p>
          <w:p>
            <w:pPr>
              <w:spacing w:line="360" w:lineRule="auto"/>
              <w:rPr>
                <w:rFonts w:ascii="宋体" w:hAnsi="Calibri"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kern w:val="0"/>
                <w:sz w:val="24"/>
                <w:szCs w:val="24"/>
              </w:rPr>
              <w:t>应用必须有位置分享功能，亲友、医患</w:t>
            </w:r>
            <w:r>
              <w:rPr>
                <w:rFonts w:ascii="宋体" w:hAnsi="宋体" w:eastAsia="宋体" w:cs="宋体"/>
                <w:kern w:val="0"/>
                <w:sz w:val="24"/>
                <w:szCs w:val="24"/>
              </w:rPr>
              <w:t>/</w:t>
            </w:r>
            <w:r>
              <w:rPr>
                <w:rFonts w:hint="eastAsia" w:ascii="宋体" w:hAnsi="宋体" w:eastAsia="宋体" w:cs="宋体"/>
                <w:kern w:val="0"/>
                <w:sz w:val="24"/>
                <w:szCs w:val="24"/>
              </w:rPr>
              <w:t>护患之间可通过位分享的位置信息，一键导航到亲友所在的位置，极大方便患者就诊</w:t>
            </w:r>
            <w:r>
              <w:rPr>
                <w:rFonts w:hint="eastAsia" w:ascii="宋体" w:hAnsi="宋体" w:eastAsia="宋体" w:cs="宋体"/>
                <w:sz w:val="24"/>
                <w:szCs w:val="24"/>
              </w:rPr>
              <w:t>；</w:t>
            </w:r>
          </w:p>
          <w:p>
            <w:pPr>
              <w:spacing w:line="360" w:lineRule="auto"/>
              <w:rPr>
                <w:rFonts w:ascii="宋体" w:hAnsi="Calibri"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、具备医院介绍、就诊须知模块，通过微信端及医院</w:t>
            </w:r>
            <w:r>
              <w:rPr>
                <w:rFonts w:ascii="宋体" w:hAnsi="宋体" w:eastAsia="宋体" w:cs="宋体"/>
                <w:sz w:val="24"/>
                <w:szCs w:val="24"/>
              </w:rPr>
              <w:t>APP</w:t>
            </w:r>
            <w:r>
              <w:rPr>
                <w:rFonts w:hint="eastAsia" w:ascii="宋体" w:hAnsi="宋体" w:eastAsia="宋体" w:cs="宋体"/>
                <w:sz w:val="24"/>
                <w:szCs w:val="24"/>
              </w:rPr>
              <w:t>端可直观查看医院介绍、患者就诊须知介绍等；</w:t>
            </w:r>
          </w:p>
          <w:p>
            <w:pPr>
              <w:spacing w:line="360" w:lineRule="auto"/>
              <w:rPr>
                <w:rFonts w:ascii="宋体" w:hAnsi="Calibri"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w:t>
            </w:r>
            <w:r>
              <w:rPr>
                <w:rFonts w:ascii="宋体" w:hAnsi="宋体" w:eastAsia="宋体" w:cs="宋体"/>
                <w:sz w:val="24"/>
                <w:szCs w:val="24"/>
              </w:rPr>
              <w:t>720</w:t>
            </w:r>
            <w:r>
              <w:rPr>
                <w:rFonts w:hint="eastAsia" w:ascii="宋体" w:hAnsi="宋体" w:eastAsia="宋体" w:cs="宋体"/>
                <w:sz w:val="24"/>
                <w:szCs w:val="24"/>
              </w:rPr>
              <w:t>度全景功能，</w:t>
            </w:r>
            <w:r>
              <w:rPr>
                <w:rFonts w:hint="eastAsia" w:ascii="Calibri" w:hAnsi="宋体" w:eastAsia="宋体" w:cs="宋体"/>
                <w:sz w:val="24"/>
                <w:szCs w:val="24"/>
              </w:rPr>
              <w:t>模拟导航与实时导航均可展示关键节点位置的全景图像，并且全景图像以动画的方式展示，方便用户判断当前所在位置，以及辨别方向。</w:t>
            </w:r>
            <w:r>
              <w:rPr>
                <w:rFonts w:hint="eastAsia" w:ascii="宋体" w:hAnsi="宋体" w:eastAsia="宋体" w:cs="宋体"/>
                <w:b/>
                <w:sz w:val="24"/>
                <w:szCs w:val="24"/>
              </w:rPr>
              <w:t>提供小程序产品功能截图</w:t>
            </w:r>
            <w:r>
              <w:rPr>
                <w:rFonts w:hint="eastAsia" w:ascii="宋体" w:hAnsi="宋体" w:eastAsia="宋体" w:cs="宋体"/>
                <w:sz w:val="24"/>
                <w:szCs w:val="24"/>
              </w:rPr>
              <w:t>；</w:t>
            </w:r>
          </w:p>
          <w:p>
            <w:pPr>
              <w:spacing w:line="360" w:lineRule="auto"/>
              <w:rPr>
                <w:rFonts w:ascii="宋体" w:hAnsi="Calibri"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、支持来院导航功能，用户不在院区范围内时，提示用户可使用来院导航功能，并自动调用百度、高德或腾讯地图完成室外导航；</w:t>
            </w:r>
          </w:p>
          <w:p>
            <w:pPr>
              <w:spacing w:line="360" w:lineRule="auto"/>
              <w:rPr>
                <w:rFonts w:ascii="宋体" w:hAnsi="Calibri"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、支持紧急逃生功能，启用后在医院地图内醒目显示医院紧急通道位置，并可规划最近的逃生线路；</w:t>
            </w:r>
          </w:p>
          <w:p>
            <w:pPr>
              <w:spacing w:line="360" w:lineRule="auto"/>
              <w:rPr>
                <w:rFonts w:ascii="宋体" w:hAnsi="Calibri"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、支持周边交通功能，可提供医院周边的交通线路给用户查询，比如公交车线路、地铁线路和停车场等，让用户便捷地选择最佳出行方式；</w:t>
            </w:r>
          </w:p>
          <w:p>
            <w:pPr>
              <w:spacing w:line="360" w:lineRule="auto"/>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、手机</w:t>
            </w:r>
            <w:r>
              <w:rPr>
                <w:rFonts w:ascii="宋体" w:hAnsi="宋体" w:eastAsia="宋体" w:cs="宋体"/>
                <w:sz w:val="24"/>
                <w:szCs w:val="24"/>
              </w:rPr>
              <w:t>AR</w:t>
            </w:r>
            <w:r>
              <w:rPr>
                <w:rFonts w:hint="eastAsia" w:ascii="宋体" w:hAnsi="宋体" w:eastAsia="宋体" w:cs="宋体"/>
                <w:sz w:val="24"/>
                <w:szCs w:val="24"/>
              </w:rPr>
              <w:t>实景导航，在导航过程中实时调用手机摄像头展现</w:t>
            </w:r>
            <w:r>
              <w:rPr>
                <w:rFonts w:ascii="宋体" w:hAnsi="宋体" w:eastAsia="宋体" w:cs="宋体"/>
                <w:sz w:val="24"/>
                <w:szCs w:val="24"/>
              </w:rPr>
              <w:t>AR</w:t>
            </w:r>
            <w:r>
              <w:rPr>
                <w:rFonts w:hint="eastAsia" w:ascii="宋体" w:hAnsi="宋体" w:eastAsia="宋体" w:cs="宋体"/>
                <w:sz w:val="24"/>
                <w:szCs w:val="24"/>
              </w:rPr>
              <w:t>实景导航，提供</w:t>
            </w:r>
            <w:r>
              <w:rPr>
                <w:rFonts w:ascii="宋体" w:hAnsi="宋体" w:eastAsia="宋体" w:cs="宋体"/>
                <w:sz w:val="24"/>
                <w:szCs w:val="24"/>
              </w:rPr>
              <w:t>AR</w:t>
            </w:r>
            <w:r>
              <w:rPr>
                <w:rFonts w:hint="eastAsia" w:ascii="宋体" w:hAnsi="宋体" w:eastAsia="宋体" w:cs="宋体"/>
                <w:sz w:val="24"/>
                <w:szCs w:val="24"/>
              </w:rPr>
              <w:t>导航功能截图。</w:t>
            </w:r>
          </w:p>
          <w:p>
            <w:pPr>
              <w:spacing w:line="360" w:lineRule="auto"/>
              <w:rPr>
                <w:rFonts w:ascii="宋体" w:hAnsi="宋体" w:eastAsia="宋体" w:cs="宋体"/>
                <w:sz w:val="24"/>
                <w:szCs w:val="24"/>
              </w:rPr>
            </w:pPr>
            <w:r>
              <w:rPr>
                <w:rFonts w:hint="eastAsia" w:ascii="宋体" w:hAnsi="宋体" w:eastAsia="宋体" w:cs="宋体"/>
                <w:sz w:val="24"/>
                <w:szCs w:val="24"/>
              </w:rPr>
              <w:t>11.支持中英文切换可通过语言切换按钮实现中英文切换，可以流畅进行英文导航；</w:t>
            </w:r>
          </w:p>
          <w:p>
            <w:pPr>
              <w:spacing w:line="360" w:lineRule="auto"/>
              <w:rPr>
                <w:rFonts w:ascii="宋体" w:hAnsi="Calibri" w:eastAsia="宋体" w:cs="宋体"/>
                <w:sz w:val="24"/>
                <w:szCs w:val="24"/>
              </w:rPr>
            </w:pPr>
            <w:r>
              <w:rPr>
                <w:rFonts w:hint="eastAsia" w:ascii="宋体" w:hAnsi="宋体" w:eastAsia="宋体" w:cs="宋体"/>
                <w:sz w:val="24"/>
                <w:szCs w:val="24"/>
              </w:rPr>
              <w:t>12.模拟导航支持连续的VR导航；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7</w:t>
            </w:r>
          </w:p>
        </w:tc>
        <w:tc>
          <w:tcPr>
            <w:tcW w:w="1449"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停车服务</w:t>
            </w:r>
          </w:p>
          <w:p>
            <w:pPr>
              <w:spacing w:line="360" w:lineRule="auto"/>
              <w:jc w:val="center"/>
              <w:rPr>
                <w:rFonts w:ascii="宋体" w:hAnsi="Calibri" w:eastAsia="宋体" w:cs="宋体"/>
                <w:b/>
                <w:sz w:val="24"/>
                <w:szCs w:val="24"/>
              </w:rPr>
            </w:pPr>
            <w:r>
              <w:rPr>
                <w:rFonts w:hint="eastAsia" w:ascii="宋体" w:hAnsi="宋体" w:eastAsia="宋体" w:cs="宋体"/>
                <w:b/>
                <w:sz w:val="24"/>
                <w:szCs w:val="24"/>
              </w:rPr>
              <w:t>系统对接</w:t>
            </w:r>
          </w:p>
        </w:tc>
        <w:tc>
          <w:tcPr>
            <w:tcW w:w="643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1、支持与医院地下停车服务系统对接，实现停车场的停车打卡和反向寻车导航两大功能，分别提供停车打卡和反向寻车导航功能截图。</w:t>
            </w:r>
          </w:p>
          <w:p>
            <w:pPr>
              <w:spacing w:line="360" w:lineRule="auto"/>
              <w:rPr>
                <w:rFonts w:ascii="宋体" w:hAnsi="宋体" w:eastAsia="宋体" w:cs="宋体"/>
                <w:sz w:val="24"/>
                <w:szCs w:val="24"/>
              </w:rPr>
            </w:pPr>
            <w:r>
              <w:rPr>
                <w:rFonts w:hint="eastAsia" w:ascii="宋体" w:hAnsi="宋体" w:eastAsia="宋体" w:cs="宋体"/>
                <w:sz w:val="24"/>
                <w:szCs w:val="24"/>
              </w:rPr>
              <w:t>2、支持停车场与地上导航联动需现场演示</w:t>
            </w:r>
          </w:p>
          <w:p>
            <w:pPr>
              <w:spacing w:line="360" w:lineRule="auto"/>
              <w:rPr>
                <w:rFonts w:ascii="宋体" w:hAnsi="宋体" w:eastAsia="宋体" w:cs="宋体"/>
                <w:b/>
                <w:bCs/>
                <w:sz w:val="24"/>
                <w:szCs w:val="24"/>
              </w:rPr>
            </w:pPr>
            <w:r>
              <w:rPr>
                <w:rFonts w:hint="eastAsia" w:ascii="宋体" w:hAnsi="宋体" w:eastAsia="宋体" w:cs="宋体"/>
                <w:sz w:val="24"/>
                <w:szCs w:val="24"/>
              </w:rPr>
              <w:t>3、支持停车场缴费。提供相关截图；</w:t>
            </w:r>
            <w:r>
              <w:rPr>
                <w:rFonts w:hint="eastAsia" w:ascii="宋体" w:hAnsi="宋体" w:eastAsia="宋体" w:cs="宋体"/>
                <w:b/>
                <w:bCs/>
                <w:sz w:val="24"/>
                <w:szCs w:val="24"/>
              </w:rPr>
              <w:t>提供截图和演示。</w:t>
            </w:r>
          </w:p>
          <w:p>
            <w:pPr>
              <w:spacing w:line="360" w:lineRule="auto"/>
            </w:pPr>
            <w:r>
              <w:rPr>
                <w:rFonts w:hint="eastAsia" w:ascii="宋体" w:hAnsi="宋体" w:eastAsia="宋体" w:cs="宋体"/>
                <w:sz w:val="24"/>
                <w:szCs w:val="24"/>
              </w:rPr>
              <w:t>4、支持空车位预约、通过车牌查询车辆位置。</w:t>
            </w:r>
            <w:r>
              <w:rPr>
                <w:rFonts w:hint="eastAsia" w:ascii="宋体" w:hAnsi="宋体" w:eastAsia="宋体" w:cs="宋体"/>
                <w:b/>
                <w:bCs/>
                <w:sz w:val="24"/>
                <w:szCs w:val="24"/>
              </w:rPr>
              <w:t>提供相关截图和演示。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36"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8</w:t>
            </w:r>
          </w:p>
        </w:tc>
        <w:tc>
          <w:tcPr>
            <w:tcW w:w="1449"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医院业务</w:t>
            </w:r>
          </w:p>
          <w:p>
            <w:pPr>
              <w:spacing w:line="360" w:lineRule="auto"/>
              <w:jc w:val="center"/>
              <w:rPr>
                <w:rFonts w:ascii="宋体" w:hAnsi="Calibri" w:eastAsia="宋体" w:cs="宋体"/>
                <w:b/>
                <w:sz w:val="24"/>
                <w:szCs w:val="24"/>
              </w:rPr>
            </w:pPr>
            <w:r>
              <w:rPr>
                <w:rFonts w:hint="eastAsia" w:ascii="宋体" w:hAnsi="宋体" w:eastAsia="宋体" w:cs="宋体"/>
                <w:b/>
                <w:sz w:val="24"/>
                <w:szCs w:val="24"/>
              </w:rPr>
              <w:t>系统对接</w:t>
            </w:r>
          </w:p>
        </w:tc>
        <w:tc>
          <w:tcPr>
            <w:tcW w:w="6436" w:type="dxa"/>
            <w:vAlign w:val="center"/>
          </w:tcPr>
          <w:p>
            <w:pPr>
              <w:spacing w:line="360" w:lineRule="auto"/>
              <w:rPr>
                <w:rFonts w:ascii="宋体" w:hAnsi="Calibri"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、支持与预约系统对接，为患者推荐全就诊流程列表，并进行智能路线推荐；</w:t>
            </w:r>
          </w:p>
          <w:p>
            <w:pPr>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、支持与</w:t>
            </w:r>
            <w:r>
              <w:rPr>
                <w:rFonts w:ascii="宋体" w:hAnsi="宋体" w:eastAsia="宋体" w:cs="宋体"/>
                <w:sz w:val="24"/>
                <w:szCs w:val="24"/>
              </w:rPr>
              <w:t>HIS</w:t>
            </w:r>
            <w:r>
              <w:rPr>
                <w:rFonts w:hint="eastAsia" w:ascii="宋体" w:hAnsi="宋体" w:eastAsia="宋体" w:cs="宋体"/>
                <w:sz w:val="24"/>
                <w:szCs w:val="24"/>
              </w:rPr>
              <w:t>系统对接，与医院线下的场景结合，对如自动挂号机、收费窗口、报告打印机等环节打印出来的单据提供目的地二维码，患者手机即扫即导航，实现就医环节的精准推送和导航自动定位服务；</w:t>
            </w:r>
          </w:p>
          <w:p>
            <w:pPr>
              <w:spacing w:line="360" w:lineRule="auto"/>
              <w:rPr>
                <w:rFonts w:ascii="宋体" w:hAnsi="Calibri" w:eastAsia="宋体" w:cs="宋体"/>
                <w:sz w:val="24"/>
                <w:szCs w:val="24"/>
              </w:rPr>
            </w:pPr>
            <w:r>
              <w:rPr>
                <w:rFonts w:hint="eastAsia" w:ascii="宋体" w:hAnsi="宋体" w:eastAsia="宋体" w:cs="宋体"/>
                <w:sz w:val="24"/>
                <w:szCs w:val="24"/>
              </w:rPr>
              <w:t>3、支持与医院签到系统进行对接，患者在应用内抵达相关科室会自动触发签到提醒，选择“签到”则完成自助签到。</w:t>
            </w:r>
            <w:r>
              <w:rPr>
                <w:rFonts w:hint="eastAsia" w:ascii="宋体" w:hAnsi="宋体" w:eastAsia="宋体" w:cs="宋体"/>
                <w:b/>
                <w:bCs/>
                <w:sz w:val="24"/>
                <w:szCs w:val="24"/>
              </w:rPr>
              <w:t>提供截图及演示。</w:t>
            </w:r>
          </w:p>
          <w:p>
            <w:pPr>
              <w:spacing w:line="360" w:lineRule="auto"/>
              <w:rPr>
                <w:rFonts w:ascii="宋体" w:hAnsi="Calibri" w:eastAsia="宋体" w:cs="宋体"/>
                <w:sz w:val="24"/>
                <w:szCs w:val="24"/>
              </w:rPr>
            </w:pPr>
            <w:r>
              <w:rPr>
                <w:rFonts w:hint="eastAsia" w:ascii="宋体" w:hAnsi="宋体" w:eastAsia="宋体" w:cs="宋体"/>
                <w:sz w:val="24"/>
                <w:szCs w:val="24"/>
              </w:rPr>
              <w:t>4、系统支持与导医机器人结合，患者可以查询院内地址，并获取目的地二维码，使用手机即扫即导航；</w:t>
            </w:r>
          </w:p>
          <w:p>
            <w:pPr>
              <w:spacing w:line="360" w:lineRule="auto"/>
              <w:rPr>
                <w:rFonts w:ascii="宋体" w:hAnsi="Calibri" w:eastAsia="宋体" w:cs="宋体"/>
                <w:sz w:val="24"/>
                <w:szCs w:val="24"/>
              </w:rPr>
            </w:pPr>
            <w:r>
              <w:rPr>
                <w:rFonts w:hint="eastAsia" w:ascii="宋体" w:hAnsi="宋体" w:eastAsia="宋体" w:cs="宋体"/>
                <w:sz w:val="24"/>
                <w:szCs w:val="24"/>
              </w:rPr>
              <w:t>5、支持与医院</w:t>
            </w:r>
            <w:r>
              <w:rPr>
                <w:rFonts w:ascii="宋体" w:hAnsi="宋体" w:eastAsia="宋体" w:cs="宋体"/>
                <w:sz w:val="24"/>
                <w:szCs w:val="24"/>
              </w:rPr>
              <w:t>HIS</w:t>
            </w:r>
            <w:r>
              <w:rPr>
                <w:rFonts w:hint="eastAsia" w:ascii="宋体" w:hAnsi="宋体" w:eastAsia="宋体" w:cs="宋体"/>
                <w:sz w:val="24"/>
                <w:szCs w:val="24"/>
              </w:rPr>
              <w:t>系统对接，根据患者就诊环节及流程，向患者推送下一步的就诊提示信息（例如内科诊室、抽血处、影像科、药房等），无需患者主动输入；基于推送的就诊提示信息，患者点击后进入地图，并提供导航功能；</w:t>
            </w:r>
          </w:p>
          <w:p>
            <w:pPr>
              <w:spacing w:line="360" w:lineRule="auto"/>
              <w:rPr>
                <w:rFonts w:ascii="宋体" w:hAnsi="Calibri" w:eastAsia="宋体" w:cs="宋体"/>
                <w:sz w:val="24"/>
                <w:szCs w:val="24"/>
              </w:rPr>
            </w:pPr>
            <w:r>
              <w:rPr>
                <w:rFonts w:hint="eastAsia" w:ascii="宋体" w:hAnsi="宋体" w:eastAsia="宋体" w:cs="宋体"/>
                <w:sz w:val="24"/>
                <w:szCs w:val="24"/>
              </w:rPr>
              <w:t>6、就诊单指引：患者在医院获取就诊单后，就诊单需要具备带有目标的二维码。患者可通过扫描二维码跳转手机导航，导航二维码需与现实科室匹配精准无误，室内外导航切换需无缝精准；</w:t>
            </w:r>
          </w:p>
          <w:p>
            <w:pPr>
              <w:spacing w:line="360" w:lineRule="auto"/>
              <w:rPr>
                <w:rFonts w:ascii="宋体" w:hAnsi="Calibri" w:eastAsia="宋体" w:cs="宋体"/>
                <w:sz w:val="24"/>
                <w:szCs w:val="24"/>
              </w:rPr>
            </w:pPr>
            <w:r>
              <w:rPr>
                <w:rFonts w:hint="eastAsia" w:ascii="宋体" w:hAnsi="宋体" w:eastAsia="宋体" w:cs="宋体"/>
                <w:sz w:val="24"/>
                <w:szCs w:val="24"/>
              </w:rPr>
              <w:t>7、支持对智能导航产品使用次数、服务用户人数、热门科室搜索，进行数据统计并通过</w:t>
            </w:r>
            <w:r>
              <w:rPr>
                <w:rFonts w:ascii="宋体" w:hAnsi="宋体" w:eastAsia="宋体" w:cs="宋体"/>
                <w:sz w:val="24"/>
                <w:szCs w:val="24"/>
              </w:rPr>
              <w:t>WEB</w:t>
            </w:r>
            <w:r>
              <w:rPr>
                <w:rFonts w:hint="eastAsia" w:ascii="宋体" w:hAnsi="宋体" w:eastAsia="宋体" w:cs="宋体"/>
                <w:sz w:val="24"/>
                <w:szCs w:val="24"/>
              </w:rPr>
              <w:t>端进行实时展示，用以给导航服务策略优化提供依据，可清晰看到推送条数、服务人数、患者点击数等重要信息，可提供给医院进行数据分析；</w:t>
            </w:r>
          </w:p>
          <w:p>
            <w:pPr>
              <w:spacing w:line="360" w:lineRule="auto"/>
              <w:rPr>
                <w:rFonts w:ascii="宋体" w:hAnsi="宋体" w:eastAsia="宋体" w:cs="宋体"/>
                <w:color w:val="FF0000"/>
                <w:sz w:val="24"/>
                <w:szCs w:val="24"/>
              </w:rPr>
            </w:pPr>
            <w:r>
              <w:rPr>
                <w:rFonts w:hint="eastAsia" w:ascii="宋体" w:hAnsi="宋体" w:eastAsia="宋体" w:cs="宋体"/>
                <w:sz w:val="24"/>
                <w:szCs w:val="24"/>
              </w:rPr>
              <w:t>8、支持医院业务对接具体后台，可通过后台实时查看今日预约挂号人数、推送消息条数、推送消息点击率等。</w:t>
            </w:r>
            <w:r>
              <w:rPr>
                <w:rFonts w:hint="eastAsia" w:ascii="宋体" w:hAnsi="宋体" w:eastAsia="宋体" w:cs="宋体"/>
                <w:b/>
                <w:sz w:val="24"/>
                <w:szCs w:val="24"/>
              </w:rPr>
              <w:t>提供清晰</w:t>
            </w:r>
            <w:r>
              <w:rPr>
                <w:rFonts w:ascii="宋体" w:hAnsi="宋体" w:eastAsia="宋体" w:cs="宋体"/>
                <w:b/>
                <w:sz w:val="24"/>
                <w:szCs w:val="24"/>
              </w:rPr>
              <w:t>WEB</w:t>
            </w:r>
            <w:r>
              <w:rPr>
                <w:rFonts w:hint="eastAsia" w:ascii="宋体" w:hAnsi="宋体" w:eastAsia="宋体" w:cs="宋体"/>
                <w:b/>
                <w:sz w:val="24"/>
                <w:szCs w:val="24"/>
              </w:rPr>
              <w:t>端后台管理界面截图</w:t>
            </w:r>
            <w:r>
              <w:rPr>
                <w:rFonts w:hint="eastAsia" w:ascii="宋体" w:hAnsi="宋体" w:eastAsia="宋体" w:cs="宋体"/>
                <w:sz w:val="24"/>
                <w:szCs w:val="24"/>
              </w:rPr>
              <w:t>，可清晰看到推送条数、服务人数等重要信息。</w:t>
            </w:r>
          </w:p>
        </w:tc>
      </w:tr>
    </w:tbl>
    <w:p>
      <w:pPr>
        <w:widowControl/>
        <w:jc w:val="left"/>
        <w:rPr>
          <w:rFonts w:ascii="宋体" w:hAnsi="Calibri" w:eastAsia="宋体" w:cs="Times New Roman"/>
          <w:b/>
          <w:sz w:val="28"/>
          <w:szCs w:val="28"/>
        </w:rPr>
      </w:pPr>
    </w:p>
    <w:p>
      <w:pPr>
        <w:pStyle w:val="5"/>
        <w:tabs>
          <w:tab w:val="left" w:pos="426"/>
          <w:tab w:val="left" w:pos="993"/>
        </w:tabs>
      </w:pPr>
      <w:bookmarkStart w:id="5" w:name="_Toc17580474"/>
      <w:r>
        <w:rPr>
          <w:rFonts w:hint="eastAsia"/>
        </w:rPr>
        <w:t xml:space="preserve"> </w:t>
      </w:r>
      <w:r>
        <w:rPr>
          <w:rFonts w:hint="eastAsia"/>
          <w:sz w:val="28"/>
          <w:szCs w:val="18"/>
        </w:rPr>
        <w:t>院内智能陪诊系统</w:t>
      </w:r>
      <w:bookmarkEnd w:id="5"/>
    </w:p>
    <w:tbl>
      <w:tblPr>
        <w:tblStyle w:val="5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029"/>
        <w:gridCol w:w="5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序号</w:t>
            </w:r>
          </w:p>
        </w:tc>
        <w:tc>
          <w:tcPr>
            <w:tcW w:w="2029"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功能名称</w:t>
            </w:r>
          </w:p>
        </w:tc>
        <w:tc>
          <w:tcPr>
            <w:tcW w:w="5566" w:type="dxa"/>
            <w:vAlign w:val="center"/>
          </w:tcPr>
          <w:p>
            <w:pPr>
              <w:spacing w:line="360" w:lineRule="auto"/>
              <w:jc w:val="center"/>
              <w:rPr>
                <w:rFonts w:ascii="宋体" w:hAnsi="Calibri" w:eastAsia="宋体" w:cs="宋体"/>
                <w:b/>
                <w:sz w:val="24"/>
                <w:szCs w:val="24"/>
              </w:rPr>
            </w:pPr>
            <w:r>
              <w:rPr>
                <w:rFonts w:hint="eastAsia" w:ascii="宋体" w:hAnsi="宋体" w:eastAsia="宋体" w:cs="宋体"/>
                <w:b/>
                <w:bCs/>
                <w:kern w:val="0"/>
                <w:sz w:val="24"/>
                <w:szCs w:val="24"/>
                <w:lang w:val="zh-CN"/>
              </w:rPr>
              <w:t>技术指标参数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pPr>
              <w:widowControl/>
              <w:spacing w:line="360" w:lineRule="auto"/>
              <w:jc w:val="center"/>
              <w:rPr>
                <w:rFonts w:ascii="宋体" w:hAnsi="Calibri" w:eastAsia="宋体" w:cs="宋体"/>
                <w:b/>
                <w:bCs/>
                <w:kern w:val="0"/>
                <w:sz w:val="24"/>
                <w:szCs w:val="24"/>
              </w:rPr>
            </w:pPr>
            <w:r>
              <w:rPr>
                <w:rFonts w:ascii="宋体" w:hAnsi="宋体" w:eastAsia="宋体" w:cs="宋体"/>
                <w:b/>
                <w:bCs/>
                <w:kern w:val="0"/>
                <w:sz w:val="24"/>
                <w:szCs w:val="24"/>
              </w:rPr>
              <w:t>1</w:t>
            </w:r>
          </w:p>
        </w:tc>
        <w:tc>
          <w:tcPr>
            <w:tcW w:w="2029" w:type="dxa"/>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数据对接</w:t>
            </w:r>
          </w:p>
        </w:tc>
        <w:tc>
          <w:tcPr>
            <w:tcW w:w="5566" w:type="dxa"/>
            <w:vAlign w:val="center"/>
          </w:tcPr>
          <w:p>
            <w:pPr>
              <w:widowControl/>
              <w:spacing w:line="360" w:lineRule="auto"/>
              <w:jc w:val="left"/>
              <w:rPr>
                <w:rFonts w:ascii="宋体" w:hAnsi="Calibri" w:eastAsia="宋体" w:cs="宋体"/>
                <w:bCs/>
                <w:kern w:val="0"/>
                <w:sz w:val="24"/>
                <w:szCs w:val="24"/>
              </w:rPr>
            </w:pPr>
            <w:r>
              <w:rPr>
                <w:rFonts w:hint="eastAsia" w:ascii="宋体" w:hAnsi="宋体" w:eastAsia="宋体" w:cs="宋体"/>
                <w:bCs/>
                <w:kern w:val="0"/>
                <w:sz w:val="24"/>
                <w:szCs w:val="24"/>
              </w:rPr>
              <w:t>支持在医院内网对接医院</w:t>
            </w:r>
            <w:r>
              <w:rPr>
                <w:rFonts w:ascii="宋体" w:hAnsi="宋体" w:eastAsia="宋体" w:cs="宋体"/>
                <w:bCs/>
                <w:kern w:val="0"/>
                <w:sz w:val="24"/>
                <w:szCs w:val="24"/>
              </w:rPr>
              <w:t>HIS</w:t>
            </w:r>
            <w:r>
              <w:rPr>
                <w:rFonts w:hint="eastAsia" w:ascii="宋体" w:hAnsi="宋体" w:eastAsia="宋体" w:cs="宋体"/>
                <w:bCs/>
                <w:kern w:val="0"/>
                <w:sz w:val="24"/>
                <w:szCs w:val="24"/>
              </w:rPr>
              <w:t>、</w:t>
            </w:r>
            <w:r>
              <w:rPr>
                <w:rFonts w:ascii="宋体" w:hAnsi="宋体" w:eastAsia="宋体" w:cs="宋体"/>
                <w:bCs/>
                <w:kern w:val="0"/>
                <w:sz w:val="24"/>
                <w:szCs w:val="24"/>
              </w:rPr>
              <w:t>LIS</w:t>
            </w:r>
            <w:r>
              <w:rPr>
                <w:rFonts w:hint="eastAsia" w:ascii="宋体" w:hAnsi="宋体" w:eastAsia="宋体" w:cs="宋体"/>
                <w:bCs/>
                <w:kern w:val="0"/>
                <w:sz w:val="24"/>
                <w:szCs w:val="24"/>
              </w:rPr>
              <w:t>、</w:t>
            </w:r>
            <w:r>
              <w:rPr>
                <w:rFonts w:ascii="宋体" w:hAnsi="宋体" w:eastAsia="宋体" w:cs="宋体"/>
                <w:bCs/>
                <w:kern w:val="0"/>
                <w:sz w:val="24"/>
                <w:szCs w:val="24"/>
              </w:rPr>
              <w:t>PACS</w:t>
            </w:r>
            <w:r>
              <w:rPr>
                <w:rFonts w:hint="eastAsia" w:ascii="宋体" w:hAnsi="宋体" w:eastAsia="宋体" w:cs="宋体"/>
                <w:bCs/>
                <w:kern w:val="0"/>
                <w:sz w:val="24"/>
                <w:szCs w:val="24"/>
              </w:rPr>
              <w:t>、</w:t>
            </w:r>
            <w:r>
              <w:rPr>
                <w:rFonts w:ascii="宋体" w:hAnsi="宋体" w:eastAsia="宋体" w:cs="宋体"/>
                <w:bCs/>
                <w:kern w:val="0"/>
                <w:sz w:val="24"/>
                <w:szCs w:val="24"/>
              </w:rPr>
              <w:t>EMR</w:t>
            </w:r>
            <w:r>
              <w:rPr>
                <w:rFonts w:hint="eastAsia" w:ascii="宋体" w:hAnsi="宋体" w:eastAsia="宋体" w:cs="宋体"/>
                <w:bCs/>
                <w:kern w:val="0"/>
                <w:sz w:val="24"/>
                <w:szCs w:val="24"/>
              </w:rPr>
              <w:t>等各个系统数据，并进行脱敏处理。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pPr>
              <w:widowControl/>
              <w:spacing w:line="360" w:lineRule="auto"/>
              <w:jc w:val="center"/>
              <w:rPr>
                <w:rFonts w:ascii="宋体" w:hAnsi="Calibri" w:eastAsia="宋体" w:cs="宋体"/>
                <w:b/>
                <w:bCs/>
                <w:kern w:val="0"/>
                <w:sz w:val="24"/>
                <w:szCs w:val="24"/>
              </w:rPr>
            </w:pPr>
            <w:r>
              <w:rPr>
                <w:rFonts w:ascii="宋体" w:hAnsi="宋体" w:eastAsia="宋体" w:cs="宋体"/>
                <w:b/>
                <w:bCs/>
                <w:kern w:val="0"/>
                <w:sz w:val="24"/>
                <w:szCs w:val="24"/>
              </w:rPr>
              <w:t>2</w:t>
            </w:r>
          </w:p>
        </w:tc>
        <w:tc>
          <w:tcPr>
            <w:tcW w:w="2029" w:type="dxa"/>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就诊</w:t>
            </w:r>
          </w:p>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全流程推送</w:t>
            </w:r>
          </w:p>
        </w:tc>
        <w:tc>
          <w:tcPr>
            <w:tcW w:w="5566" w:type="dxa"/>
            <w:vAlign w:val="center"/>
          </w:tcPr>
          <w:p>
            <w:pPr>
              <w:widowControl/>
              <w:spacing w:line="360" w:lineRule="auto"/>
              <w:jc w:val="left"/>
              <w:rPr>
                <w:rFonts w:ascii="宋体" w:hAnsi="Calibri" w:eastAsia="宋体" w:cs="宋体"/>
                <w:bCs/>
                <w:kern w:val="0"/>
                <w:sz w:val="24"/>
                <w:szCs w:val="24"/>
              </w:rPr>
            </w:pPr>
            <w:r>
              <w:rPr>
                <w:rFonts w:hint="eastAsia" w:ascii="宋体" w:hAnsi="宋体" w:eastAsia="宋体" w:cs="宋体"/>
                <w:bCs/>
                <w:kern w:val="0"/>
                <w:sz w:val="24"/>
                <w:szCs w:val="24"/>
              </w:rPr>
              <w:t>患者在医院每完成“预约挂号”、“初诊”、“缴费”、“检查”、“取报告”、“复诊”、“缴费”、“取药”等任一就诊环节，可在医院微信公众号内收到一条提示下一步就诊流程的指引消息。（需对接医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pPr>
              <w:widowControl/>
              <w:spacing w:line="360" w:lineRule="auto"/>
              <w:jc w:val="center"/>
              <w:rPr>
                <w:rFonts w:ascii="宋体" w:hAnsi="Calibri" w:eastAsia="宋体" w:cs="宋体"/>
                <w:b/>
                <w:bCs/>
                <w:kern w:val="0"/>
                <w:sz w:val="24"/>
                <w:szCs w:val="24"/>
              </w:rPr>
            </w:pPr>
            <w:r>
              <w:rPr>
                <w:rFonts w:ascii="宋体" w:hAnsi="宋体" w:eastAsia="宋体" w:cs="宋体"/>
                <w:b/>
                <w:bCs/>
                <w:kern w:val="0"/>
                <w:sz w:val="24"/>
                <w:szCs w:val="24"/>
              </w:rPr>
              <w:t>3</w:t>
            </w:r>
          </w:p>
        </w:tc>
        <w:tc>
          <w:tcPr>
            <w:tcW w:w="2029" w:type="dxa"/>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推送消息对接</w:t>
            </w:r>
          </w:p>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智能导航应用</w:t>
            </w:r>
          </w:p>
        </w:tc>
        <w:tc>
          <w:tcPr>
            <w:tcW w:w="5566" w:type="dxa"/>
            <w:vAlign w:val="center"/>
          </w:tcPr>
          <w:p>
            <w:pPr>
              <w:widowControl/>
              <w:spacing w:line="360" w:lineRule="auto"/>
              <w:jc w:val="left"/>
              <w:rPr>
                <w:rFonts w:ascii="宋体" w:hAnsi="Calibri" w:eastAsia="宋体" w:cs="宋体"/>
                <w:bCs/>
                <w:kern w:val="0"/>
                <w:sz w:val="24"/>
                <w:szCs w:val="24"/>
              </w:rPr>
            </w:pPr>
            <w:r>
              <w:rPr>
                <w:rFonts w:hint="eastAsia" w:ascii="宋体" w:hAnsi="宋体" w:eastAsia="宋体" w:cs="宋体"/>
                <w:bCs/>
                <w:kern w:val="0"/>
                <w:sz w:val="24"/>
                <w:szCs w:val="24"/>
              </w:rPr>
              <w:t>患者在微信公众号内收到的每一条就诊引导消息，均可对接医院智能导航应用，患者点击消息可直接进入导航，前往下一步目的地。（需对接医院数据）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pPr>
              <w:widowControl/>
              <w:spacing w:line="360" w:lineRule="auto"/>
              <w:jc w:val="center"/>
              <w:rPr>
                <w:rFonts w:ascii="宋体" w:hAnsi="Calibri" w:eastAsia="宋体" w:cs="宋体"/>
                <w:b/>
                <w:bCs/>
                <w:kern w:val="0"/>
                <w:sz w:val="24"/>
                <w:szCs w:val="24"/>
              </w:rPr>
            </w:pPr>
            <w:r>
              <w:rPr>
                <w:rFonts w:ascii="宋体" w:hAnsi="宋体" w:eastAsia="宋体" w:cs="宋体"/>
                <w:b/>
                <w:bCs/>
                <w:kern w:val="0"/>
                <w:sz w:val="24"/>
                <w:szCs w:val="24"/>
              </w:rPr>
              <w:t>4</w:t>
            </w:r>
          </w:p>
        </w:tc>
        <w:tc>
          <w:tcPr>
            <w:tcW w:w="2029" w:type="dxa"/>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检查</w:t>
            </w:r>
          </w:p>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报告单推送</w:t>
            </w:r>
          </w:p>
        </w:tc>
        <w:tc>
          <w:tcPr>
            <w:tcW w:w="5566" w:type="dxa"/>
            <w:vAlign w:val="center"/>
          </w:tcPr>
          <w:p>
            <w:pPr>
              <w:widowControl/>
              <w:spacing w:line="360" w:lineRule="auto"/>
              <w:jc w:val="left"/>
              <w:rPr>
                <w:rFonts w:ascii="宋体" w:hAnsi="Calibri" w:eastAsia="宋体" w:cs="宋体"/>
                <w:bCs/>
                <w:kern w:val="0"/>
                <w:sz w:val="24"/>
                <w:szCs w:val="24"/>
              </w:rPr>
            </w:pPr>
            <w:r>
              <w:rPr>
                <w:rFonts w:hint="eastAsia" w:ascii="宋体" w:hAnsi="宋体" w:eastAsia="宋体" w:cs="宋体"/>
                <w:bCs/>
                <w:kern w:val="0"/>
                <w:sz w:val="24"/>
                <w:szCs w:val="24"/>
              </w:rPr>
              <w:t>患者完成检查，医院系统内检查结果生成后，患者可在微信公众号内收到检查报告推送，点击消息可查看自己的报告单。（需对接医院数据）</w:t>
            </w:r>
          </w:p>
        </w:tc>
      </w:tr>
    </w:tbl>
    <w:p>
      <w:pPr>
        <w:pStyle w:val="119"/>
        <w:spacing w:before="31" w:after="31"/>
      </w:pPr>
      <w:bookmarkStart w:id="6" w:name="_Toc17580475"/>
    </w:p>
    <w:p>
      <w:pPr>
        <w:pStyle w:val="119"/>
        <w:spacing w:before="31" w:after="31"/>
      </w:pPr>
    </w:p>
    <w:p>
      <w:pPr>
        <w:pStyle w:val="119"/>
        <w:spacing w:before="31" w:after="31"/>
      </w:pPr>
    </w:p>
    <w:p>
      <w:pPr>
        <w:pStyle w:val="119"/>
        <w:spacing w:before="31" w:after="31"/>
      </w:pPr>
    </w:p>
    <w:bookmarkEnd w:id="6"/>
    <w:p>
      <w:pPr>
        <w:pStyle w:val="5"/>
        <w:tabs>
          <w:tab w:val="left" w:pos="426"/>
          <w:tab w:val="left" w:pos="993"/>
        </w:tabs>
        <w:rPr>
          <w:sz w:val="28"/>
          <w:szCs w:val="18"/>
        </w:rPr>
      </w:pPr>
      <w:r>
        <w:rPr>
          <w:rFonts w:hint="eastAsia"/>
          <w:sz w:val="28"/>
          <w:szCs w:val="18"/>
        </w:rPr>
        <w:t>智能人脸识别导诊大屏</w:t>
      </w:r>
    </w:p>
    <w:tbl>
      <w:tblPr>
        <w:tblStyle w:val="56"/>
        <w:tblW w:w="87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6"/>
        <w:gridCol w:w="2080"/>
        <w:gridCol w:w="5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1076"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序号</w:t>
            </w:r>
          </w:p>
        </w:tc>
        <w:tc>
          <w:tcPr>
            <w:tcW w:w="2080"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功能名称</w:t>
            </w:r>
          </w:p>
        </w:tc>
        <w:tc>
          <w:tcPr>
            <w:tcW w:w="5567" w:type="dxa"/>
            <w:vAlign w:val="center"/>
          </w:tcPr>
          <w:p>
            <w:pPr>
              <w:spacing w:line="360" w:lineRule="auto"/>
              <w:jc w:val="center"/>
              <w:rPr>
                <w:rFonts w:ascii="宋体" w:hAnsi="Calibri" w:eastAsia="宋体" w:cs="宋体"/>
                <w:b/>
                <w:sz w:val="24"/>
                <w:szCs w:val="24"/>
              </w:rPr>
            </w:pPr>
            <w:r>
              <w:rPr>
                <w:rFonts w:hint="eastAsia" w:ascii="宋体" w:hAnsi="宋体" w:eastAsia="宋体" w:cs="宋体"/>
                <w:b/>
                <w:bCs/>
                <w:kern w:val="0"/>
                <w:sz w:val="24"/>
                <w:szCs w:val="24"/>
                <w:lang w:val="zh-CN"/>
              </w:rPr>
              <w:t>技术指标参数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1076" w:type="dxa"/>
            <w:vAlign w:val="center"/>
          </w:tcPr>
          <w:p>
            <w:pPr>
              <w:widowControl/>
              <w:spacing w:line="360" w:lineRule="auto"/>
              <w:jc w:val="center"/>
              <w:rPr>
                <w:rFonts w:ascii="宋体" w:hAnsi="Calibri" w:eastAsia="宋体" w:cs="宋体"/>
                <w:b/>
                <w:bCs/>
                <w:kern w:val="0"/>
                <w:sz w:val="24"/>
                <w:szCs w:val="24"/>
                <w:lang w:val="zh-CN"/>
              </w:rPr>
            </w:pPr>
            <w:r>
              <w:rPr>
                <w:rFonts w:ascii="宋体" w:hAnsi="宋体" w:eastAsia="宋体" w:cs="宋体"/>
                <w:b/>
                <w:bCs/>
                <w:kern w:val="0"/>
                <w:sz w:val="24"/>
                <w:szCs w:val="24"/>
                <w:lang w:val="zh-CN"/>
              </w:rPr>
              <w:t>1</w:t>
            </w:r>
          </w:p>
        </w:tc>
        <w:tc>
          <w:tcPr>
            <w:tcW w:w="2080" w:type="dxa"/>
            <w:vAlign w:val="center"/>
          </w:tcPr>
          <w:p>
            <w:pPr>
              <w:spacing w:before="93" w:beforeLines="30" w:after="93" w:afterLines="30" w:line="360" w:lineRule="auto"/>
              <w:jc w:val="center"/>
              <w:rPr>
                <w:rFonts w:ascii="宋体" w:hAnsi="Calibri" w:eastAsia="宋体" w:cs="宋体"/>
                <w:b/>
                <w:sz w:val="24"/>
                <w:szCs w:val="24"/>
              </w:rPr>
            </w:pPr>
            <w:r>
              <w:rPr>
                <w:rFonts w:hint="eastAsia" w:ascii="宋体" w:hAnsi="宋体" w:eastAsia="宋体" w:cs="宋体"/>
                <w:b/>
                <w:sz w:val="24"/>
                <w:szCs w:val="24"/>
              </w:rPr>
              <w:t>导诊屏</w:t>
            </w:r>
          </w:p>
          <w:p>
            <w:pPr>
              <w:spacing w:before="93" w:beforeLines="30" w:after="93" w:afterLines="30" w:line="360" w:lineRule="auto"/>
              <w:jc w:val="center"/>
              <w:rPr>
                <w:rFonts w:ascii="宋体" w:hAnsi="Calibri" w:eastAsia="宋体" w:cs="宋体"/>
                <w:b/>
                <w:sz w:val="24"/>
                <w:szCs w:val="24"/>
              </w:rPr>
            </w:pPr>
            <w:r>
              <w:rPr>
                <w:rFonts w:hint="eastAsia" w:ascii="宋体" w:hAnsi="宋体" w:eastAsia="宋体" w:cs="宋体"/>
                <w:b/>
                <w:sz w:val="24"/>
                <w:szCs w:val="24"/>
              </w:rPr>
              <w:t>硬件参数</w:t>
            </w:r>
          </w:p>
        </w:tc>
        <w:tc>
          <w:tcPr>
            <w:tcW w:w="5567" w:type="dxa"/>
            <w:vAlign w:val="center"/>
          </w:tcPr>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操作系统：</w:t>
            </w:r>
            <w:r>
              <w:rPr>
                <w:rFonts w:hint="eastAsia" w:ascii="宋体" w:hAnsi="宋体" w:eastAsia="宋体" w:cs="宋体"/>
                <w:color w:val="auto"/>
                <w:sz w:val="24"/>
                <w:szCs w:val="24"/>
                <w:highlight w:val="none"/>
              </w:rPr>
              <w:t>Android 7.1 安全操作系统</w:t>
            </w:r>
          </w:p>
          <w:p>
            <w:pPr>
              <w:spacing w:before="93" w:beforeLines="30" w:after="93" w:afterLines="30" w:line="360" w:lineRule="auto"/>
              <w:jc w:val="left"/>
              <w:rPr>
                <w:rFonts w:ascii="宋体" w:hAnsi="宋体" w:eastAsia="宋体" w:cs="宋体"/>
                <w:color w:val="auto"/>
                <w:sz w:val="24"/>
                <w:szCs w:val="24"/>
              </w:rPr>
            </w:pPr>
            <w:r>
              <w:rPr>
                <w:rFonts w:hint="eastAsia" w:ascii="宋体" w:hAnsi="宋体" w:eastAsia="宋体" w:cs="宋体"/>
                <w:sz w:val="24"/>
                <w:szCs w:val="24"/>
              </w:rPr>
              <w:t>处理器：4核1.8G</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存储器：2GB RAM</w:t>
            </w:r>
            <w:r>
              <w:rPr>
                <w:rFonts w:hint="eastAsia" w:ascii="宋体" w:hAnsi="宋体" w:eastAsia="宋体" w:cs="宋体"/>
                <w:sz w:val="24"/>
                <w:szCs w:val="24"/>
              </w:rPr>
              <w:br w:type="textWrapping"/>
            </w:r>
            <w:r>
              <w:rPr>
                <w:rFonts w:hint="eastAsia" w:ascii="宋体" w:hAnsi="宋体" w:eastAsia="宋体" w:cs="宋体"/>
                <w:sz w:val="24"/>
                <w:szCs w:val="24"/>
              </w:rPr>
              <w:t>16GB ROM</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 xml:space="preserve">外部存储卡：支持TF卡扩展，最大到64G </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触显一体屏：21.5英寸，1920*1080 全视角显示屏</w:t>
            </w:r>
            <w:r>
              <w:rPr>
                <w:rFonts w:hint="eastAsia" w:ascii="宋体" w:hAnsi="宋体" w:eastAsia="宋体" w:cs="宋体"/>
                <w:sz w:val="24"/>
                <w:szCs w:val="24"/>
              </w:rPr>
              <w:br w:type="textWrapping"/>
            </w:r>
            <w:r>
              <w:rPr>
                <w:rFonts w:hint="eastAsia" w:ascii="宋体" w:hAnsi="宋体" w:eastAsia="宋体" w:cs="宋体"/>
                <w:sz w:val="24"/>
                <w:szCs w:val="24"/>
              </w:rPr>
              <w:t>G+G电容屏，支持10点触摸</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打印机：80热敏打印机，带自动切刀，</w:t>
            </w:r>
            <w:r>
              <w:rPr>
                <w:rFonts w:hint="eastAsia" w:ascii="宋体" w:hAnsi="宋体" w:eastAsia="宋体" w:cs="宋体"/>
                <w:sz w:val="24"/>
                <w:szCs w:val="24"/>
              </w:rPr>
              <w:br w:type="textWrapping"/>
            </w:r>
            <w:r>
              <w:rPr>
                <w:rFonts w:hint="eastAsia" w:ascii="宋体" w:hAnsi="宋体" w:eastAsia="宋体" w:cs="宋体"/>
                <w:sz w:val="24"/>
                <w:szCs w:val="24"/>
              </w:rPr>
              <w:t>支持80mm外径纸卷</w:t>
            </w:r>
            <w:r>
              <w:rPr>
                <w:rFonts w:hint="eastAsia" w:ascii="宋体" w:hAnsi="宋体" w:eastAsia="宋体" w:cs="宋体"/>
                <w:sz w:val="24"/>
                <w:szCs w:val="24"/>
              </w:rPr>
              <w:br w:type="textWrapping"/>
            </w:r>
            <w:r>
              <w:rPr>
                <w:rFonts w:hint="eastAsia" w:ascii="宋体" w:hAnsi="宋体" w:eastAsia="宋体" w:cs="宋体"/>
                <w:sz w:val="24"/>
                <w:szCs w:val="24"/>
              </w:rPr>
              <w:t>打印速度150mm/s (MAX)</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条码扫描器：支持一维、二维 手机屏幕及印刷的条码</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摄像头：双目摄像头。</w:t>
            </w:r>
          </w:p>
          <w:p>
            <w:pPr>
              <w:spacing w:before="93" w:beforeLines="30" w:after="93" w:afterLines="30" w:line="360" w:lineRule="auto"/>
              <w:jc w:val="left"/>
              <w:rPr>
                <w:rFonts w:ascii="宋体" w:hAnsi="宋体" w:eastAsia="宋体" w:cs="宋体"/>
                <w:sz w:val="24"/>
                <w:szCs w:val="24"/>
                <w:lang w:val="nl-BE"/>
              </w:rPr>
            </w:pPr>
            <w:r>
              <w:rPr>
                <w:rFonts w:hint="eastAsia" w:ascii="宋体" w:hAnsi="宋体" w:eastAsia="宋体" w:cs="宋体"/>
                <w:sz w:val="24"/>
                <w:szCs w:val="24"/>
              </w:rPr>
              <w:t>WI-FI：</w:t>
            </w:r>
            <w:r>
              <w:rPr>
                <w:rFonts w:hint="eastAsia" w:ascii="宋体" w:hAnsi="宋体" w:eastAsia="宋体" w:cs="宋体"/>
                <w:sz w:val="24"/>
                <w:szCs w:val="24"/>
                <w:lang w:val="nl-BE"/>
              </w:rPr>
              <w:t>2.4G，</w:t>
            </w:r>
            <w:r>
              <w:rPr>
                <w:rFonts w:hint="eastAsia" w:ascii="宋体" w:hAnsi="宋体" w:eastAsia="宋体" w:cs="宋体"/>
                <w:sz w:val="24"/>
                <w:szCs w:val="24"/>
              </w:rPr>
              <w:t>支持</w:t>
            </w:r>
            <w:r>
              <w:rPr>
                <w:rFonts w:hint="eastAsia" w:ascii="宋体" w:hAnsi="宋体" w:eastAsia="宋体" w:cs="宋体"/>
                <w:sz w:val="24"/>
                <w:szCs w:val="24"/>
                <w:lang w:val="nl-BE"/>
              </w:rPr>
              <w:t>IEEE 802.11 b/g/n</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蓝牙：支持蓝牙4.0,支持BLE</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以太网：1个10/100/1000M自适应</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 xml:space="preserve">喇叭：3Wx2个 立体声 </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按键：电源键（锁屏键）</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扩展接口：USB Type-C口x4，Micro-USB调试口x1，HDMI口x1，耳机接口x1</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电源：输入: AC100~240V</w:t>
            </w:r>
            <w:r>
              <w:rPr>
                <w:rFonts w:hint="eastAsia" w:ascii="宋体" w:hAnsi="宋体" w:eastAsia="宋体" w:cs="宋体"/>
                <w:sz w:val="24"/>
                <w:szCs w:val="24"/>
              </w:rPr>
              <w:br w:type="textWrapping"/>
            </w:r>
            <w:r>
              <w:rPr>
                <w:rFonts w:hint="eastAsia" w:ascii="宋体" w:hAnsi="宋体" w:eastAsia="宋体" w:cs="宋体"/>
                <w:sz w:val="24"/>
                <w:szCs w:val="24"/>
              </w:rPr>
              <w:t>功耗小于120W</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温度：工作:0~40℃</w:t>
            </w:r>
            <w:r>
              <w:rPr>
                <w:rFonts w:hint="eastAsia" w:ascii="宋体" w:hAnsi="宋体" w:eastAsia="宋体" w:cs="宋体"/>
                <w:sz w:val="24"/>
                <w:szCs w:val="24"/>
              </w:rPr>
              <w:br w:type="textWrapping"/>
            </w:r>
            <w:r>
              <w:rPr>
                <w:rFonts w:hint="eastAsia" w:ascii="宋体" w:hAnsi="宋体" w:eastAsia="宋体" w:cs="宋体"/>
                <w:sz w:val="24"/>
                <w:szCs w:val="24"/>
              </w:rPr>
              <w:t>储存:-20℃~55℃</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湿度：工作:25%~90%</w:t>
            </w:r>
            <w:r>
              <w:rPr>
                <w:rFonts w:hint="eastAsia" w:ascii="宋体" w:hAnsi="宋体" w:eastAsia="宋体" w:cs="宋体"/>
                <w:sz w:val="24"/>
                <w:szCs w:val="24"/>
              </w:rPr>
              <w:br w:type="textWrapping"/>
            </w:r>
            <w:r>
              <w:rPr>
                <w:rFonts w:hint="eastAsia" w:ascii="宋体" w:hAnsi="宋体" w:eastAsia="宋体" w:cs="宋体"/>
                <w:sz w:val="24"/>
                <w:szCs w:val="24"/>
              </w:rPr>
              <w:t>储存:≤93%（40℃ 非凝聚态）</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外型尺寸：壁挂：36 x11x 82 cm 宽深高；</w:t>
            </w:r>
            <w:r>
              <w:rPr>
                <w:rFonts w:hint="eastAsia" w:ascii="宋体" w:hAnsi="宋体" w:eastAsia="宋体" w:cs="宋体"/>
                <w:sz w:val="24"/>
                <w:szCs w:val="24"/>
              </w:rPr>
              <w:br w:type="textWrapping"/>
            </w:r>
            <w:r>
              <w:rPr>
                <w:rFonts w:hint="eastAsia" w:ascii="宋体" w:hAnsi="宋体" w:eastAsia="宋体" w:cs="宋体"/>
                <w:sz w:val="24"/>
                <w:szCs w:val="24"/>
              </w:rPr>
              <w:t>立式：71 x 63 x 166 cm 宽深高；</w:t>
            </w:r>
          </w:p>
          <w:p>
            <w:pPr>
              <w:spacing w:before="93" w:beforeLines="30" w:after="93" w:afterLines="30" w:line="360" w:lineRule="auto"/>
              <w:jc w:val="left"/>
              <w:rPr>
                <w:rFonts w:ascii="宋体" w:hAnsi="宋体" w:eastAsia="宋体" w:cs="宋体"/>
                <w:sz w:val="24"/>
                <w:szCs w:val="24"/>
              </w:rPr>
            </w:pPr>
            <w:r>
              <w:rPr>
                <w:rFonts w:hint="eastAsia" w:ascii="宋体" w:hAnsi="宋体" w:eastAsia="宋体" w:cs="宋体"/>
                <w:sz w:val="24"/>
                <w:szCs w:val="24"/>
              </w:rPr>
              <w:t>整机重量：壁挂：17.6kg</w:t>
            </w:r>
            <w:r>
              <w:rPr>
                <w:rFonts w:hint="eastAsia" w:ascii="宋体" w:hAnsi="宋体" w:eastAsia="宋体" w:cs="宋体"/>
                <w:sz w:val="24"/>
                <w:szCs w:val="24"/>
              </w:rPr>
              <w:br w:type="textWrapping"/>
            </w:r>
            <w:r>
              <w:rPr>
                <w:rFonts w:hint="eastAsia" w:ascii="宋体" w:hAnsi="宋体" w:eastAsia="宋体" w:cs="宋体"/>
                <w:sz w:val="24"/>
                <w:szCs w:val="24"/>
              </w:rPr>
              <w:t>立式整机：64.8kg</w:t>
            </w:r>
          </w:p>
          <w:p>
            <w:pPr>
              <w:spacing w:before="93" w:beforeLines="30" w:after="93" w:afterLines="30" w:line="360" w:lineRule="auto"/>
              <w:jc w:val="left"/>
              <w:rPr>
                <w:rFonts w:ascii="宋体" w:hAnsi="Calibri" w:eastAsia="宋体" w:cs="宋体"/>
                <w:sz w:val="24"/>
                <w:szCs w:val="24"/>
              </w:rPr>
            </w:pPr>
            <w:r>
              <w:rPr>
                <w:rFonts w:hint="eastAsia" w:ascii="宋体" w:hAnsi="宋体" w:eastAsia="宋体" w:cs="宋体"/>
                <w:sz w:val="24"/>
                <w:szCs w:val="24"/>
              </w:rPr>
              <w:t>结构装配：立式、壁挂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1076" w:type="dxa"/>
            <w:vAlign w:val="center"/>
          </w:tcPr>
          <w:p>
            <w:pPr>
              <w:widowControl/>
              <w:spacing w:line="360" w:lineRule="auto"/>
              <w:jc w:val="center"/>
              <w:rPr>
                <w:rFonts w:ascii="宋体" w:hAnsi="Calibri" w:eastAsia="宋体" w:cs="宋体"/>
                <w:b/>
                <w:bCs/>
                <w:kern w:val="0"/>
                <w:sz w:val="24"/>
                <w:szCs w:val="24"/>
                <w:lang w:val="zh-CN"/>
              </w:rPr>
            </w:pPr>
            <w:r>
              <w:rPr>
                <w:rFonts w:ascii="宋体" w:hAnsi="宋体" w:eastAsia="宋体" w:cs="宋体"/>
                <w:b/>
                <w:bCs/>
                <w:kern w:val="0"/>
                <w:sz w:val="24"/>
                <w:szCs w:val="24"/>
                <w:lang w:val="zh-CN"/>
              </w:rPr>
              <w:t>2</w:t>
            </w:r>
          </w:p>
        </w:tc>
        <w:tc>
          <w:tcPr>
            <w:tcW w:w="2080" w:type="dxa"/>
            <w:vAlign w:val="center"/>
          </w:tcPr>
          <w:p>
            <w:pPr>
              <w:spacing w:before="93" w:beforeLines="30" w:after="93" w:afterLines="30" w:line="360" w:lineRule="auto"/>
              <w:jc w:val="center"/>
              <w:rPr>
                <w:rFonts w:ascii="宋体" w:hAnsi="Calibri" w:eastAsia="宋体" w:cs="宋体"/>
                <w:b/>
                <w:sz w:val="24"/>
                <w:szCs w:val="24"/>
              </w:rPr>
            </w:pPr>
            <w:r>
              <w:rPr>
                <w:rFonts w:hint="eastAsia" w:ascii="宋体" w:hAnsi="宋体" w:eastAsia="宋体" w:cs="宋体"/>
                <w:b/>
                <w:sz w:val="24"/>
                <w:szCs w:val="24"/>
              </w:rPr>
              <w:t>人脸识别导诊屏</w:t>
            </w:r>
          </w:p>
          <w:p>
            <w:pPr>
              <w:spacing w:before="93" w:beforeLines="30" w:after="93" w:afterLines="30" w:line="360" w:lineRule="auto"/>
              <w:jc w:val="center"/>
              <w:rPr>
                <w:rFonts w:ascii="宋体" w:hAnsi="Calibri" w:eastAsia="宋体" w:cs="宋体"/>
                <w:b/>
                <w:sz w:val="24"/>
                <w:szCs w:val="24"/>
              </w:rPr>
            </w:pPr>
            <w:r>
              <w:rPr>
                <w:rFonts w:hint="eastAsia" w:ascii="宋体" w:hAnsi="宋体" w:eastAsia="宋体" w:cs="宋体"/>
                <w:b/>
                <w:sz w:val="24"/>
                <w:szCs w:val="24"/>
              </w:rPr>
              <w:t>软件功能</w:t>
            </w:r>
          </w:p>
        </w:tc>
        <w:tc>
          <w:tcPr>
            <w:tcW w:w="5567" w:type="dxa"/>
            <w:vAlign w:val="center"/>
          </w:tcPr>
          <w:p>
            <w:pPr>
              <w:spacing w:line="360" w:lineRule="auto"/>
              <w:rPr>
                <w:rFonts w:ascii="宋体" w:hAnsi="宋体" w:eastAsia="宋体" w:cs="宋体"/>
                <w:sz w:val="24"/>
                <w:szCs w:val="24"/>
              </w:rPr>
            </w:pPr>
            <w:r>
              <w:rPr>
                <w:rFonts w:hint="eastAsia" w:ascii="宋体" w:hAnsi="Calibri" w:eastAsia="宋体" w:cs="宋体"/>
                <w:sz w:val="24"/>
                <w:szCs w:val="24"/>
              </w:rPr>
              <w:t>1、支</w:t>
            </w:r>
            <w:r>
              <w:rPr>
                <w:rFonts w:hint="eastAsia" w:ascii="宋体" w:hAnsi="宋体" w:eastAsia="宋体" w:cs="宋体"/>
                <w:sz w:val="24"/>
                <w:szCs w:val="24"/>
              </w:rPr>
              <w:t>持人脸识别技术，人脸识别后获取患者就诊信息，会智能的获取到患者下一个就诊点的位置信息，并且将真实的行进路线绘制在地图上，患者可以通过大屏了解大致的路线，也可以打开手机微信扫一下二维码，使用我们的导航小程序帮助患者引路到目的地。</w:t>
            </w:r>
          </w:p>
          <w:p>
            <w:pPr>
              <w:spacing w:line="360" w:lineRule="auto"/>
              <w:rPr>
                <w:rFonts w:ascii="宋体" w:hAnsi="Calibri" w:eastAsia="宋体" w:cs="宋体"/>
                <w:sz w:val="24"/>
                <w:szCs w:val="24"/>
              </w:rPr>
            </w:pPr>
            <w:r>
              <w:rPr>
                <w:rFonts w:hint="eastAsia" w:ascii="宋体" w:hAnsi="Calibri" w:eastAsia="宋体" w:cs="宋体"/>
                <w:sz w:val="24"/>
                <w:szCs w:val="24"/>
              </w:rPr>
              <w:t>2、大屏支持挂号服务，患者可在大屏上挂号就诊</w:t>
            </w:r>
          </w:p>
          <w:p>
            <w:pPr>
              <w:spacing w:line="360" w:lineRule="auto"/>
              <w:rPr>
                <w:rFonts w:ascii="宋体" w:hAnsi="Calibri" w:eastAsia="宋体" w:cs="宋体"/>
                <w:sz w:val="24"/>
                <w:szCs w:val="24"/>
              </w:rPr>
            </w:pPr>
            <w:r>
              <w:rPr>
                <w:rFonts w:hint="eastAsia" w:ascii="宋体" w:hAnsi="Calibri" w:eastAsia="宋体" w:cs="宋体"/>
                <w:sz w:val="24"/>
                <w:szCs w:val="24"/>
              </w:rPr>
              <w:t>3、大屏支持打印挂号凭条。</w:t>
            </w:r>
          </w:p>
          <w:p>
            <w:pPr>
              <w:spacing w:line="360" w:lineRule="auto"/>
              <w:rPr>
                <w:rFonts w:ascii="宋体" w:hAnsi="Calibri" w:eastAsia="宋体" w:cs="宋体"/>
                <w:sz w:val="24"/>
                <w:szCs w:val="24"/>
              </w:rPr>
            </w:pPr>
            <w:r>
              <w:rPr>
                <w:rFonts w:hint="eastAsia" w:ascii="宋体" w:hAnsi="Calibri" w:eastAsia="宋体" w:cs="宋体"/>
                <w:sz w:val="24"/>
                <w:szCs w:val="24"/>
              </w:rPr>
              <w:t>4、大屏支持打印报告。</w:t>
            </w:r>
          </w:p>
          <w:p>
            <w:pPr>
              <w:spacing w:line="360" w:lineRule="auto"/>
              <w:rPr>
                <w:rFonts w:ascii="宋体" w:hAnsi="Calibri" w:eastAsia="宋体" w:cs="宋体"/>
                <w:sz w:val="24"/>
                <w:szCs w:val="24"/>
              </w:rPr>
            </w:pPr>
            <w:r>
              <w:rPr>
                <w:rFonts w:hint="eastAsia" w:ascii="宋体" w:hAnsi="Calibri" w:eastAsia="宋体" w:cs="宋体"/>
                <w:sz w:val="24"/>
                <w:szCs w:val="24"/>
              </w:rPr>
              <w:t>5、大屏支持二维码扫描，患者可以刷自己的电子就诊二维码进行身份识别并完成患者下一步的就诊导航指引。</w:t>
            </w:r>
          </w:p>
          <w:p>
            <w:pPr>
              <w:spacing w:line="360" w:lineRule="auto"/>
              <w:rPr>
                <w:rFonts w:ascii="宋体" w:hAnsi="Calibri" w:eastAsia="宋体" w:cs="宋体"/>
                <w:sz w:val="24"/>
                <w:szCs w:val="24"/>
              </w:rPr>
            </w:pPr>
            <w:r>
              <w:rPr>
                <w:rFonts w:hint="eastAsia" w:ascii="宋体" w:hAnsi="Calibri" w:eastAsia="宋体" w:cs="宋体"/>
                <w:sz w:val="24"/>
                <w:szCs w:val="24"/>
              </w:rPr>
              <w:t>6.大屏支持语音输入。</w:t>
            </w:r>
          </w:p>
          <w:p>
            <w:pPr>
              <w:spacing w:line="360" w:lineRule="auto"/>
              <w:rPr>
                <w:rFonts w:ascii="宋体" w:hAnsi="Calibri" w:eastAsia="宋体" w:cs="宋体"/>
                <w:sz w:val="24"/>
                <w:szCs w:val="24"/>
              </w:rPr>
            </w:pPr>
            <w:r>
              <w:rPr>
                <w:rFonts w:hint="eastAsia" w:ascii="宋体" w:hAnsi="Calibri" w:eastAsia="宋体" w:cs="宋体"/>
                <w:sz w:val="24"/>
                <w:szCs w:val="24"/>
              </w:rPr>
              <w:t>7.大屏支持在线</w:t>
            </w:r>
            <w:r>
              <w:rPr>
                <w:rFonts w:hint="eastAsia" w:ascii="宋体" w:hAnsi="宋体" w:eastAsia="宋体" w:cs="宋体"/>
                <w:sz w:val="24"/>
                <w:szCs w:val="24"/>
              </w:rPr>
              <w:t>在线信息发布</w:t>
            </w:r>
          </w:p>
          <w:p>
            <w:pPr>
              <w:spacing w:line="360" w:lineRule="auto"/>
              <w:rPr>
                <w:rFonts w:ascii="宋体" w:hAnsi="Calibri" w:eastAsia="宋体" w:cs="宋体"/>
                <w:sz w:val="24"/>
                <w:szCs w:val="24"/>
              </w:rPr>
            </w:pPr>
            <w:r>
              <w:rPr>
                <w:rFonts w:hint="eastAsia" w:ascii="宋体" w:hAnsi="Calibri" w:eastAsia="宋体" w:cs="宋体"/>
                <w:sz w:val="24"/>
                <w:szCs w:val="24"/>
              </w:rPr>
              <w:t>8、大屏支持NFC，可以刷身份证或者就诊卡进行身份识别完成缴费和患者下一步就诊导航指引。</w:t>
            </w:r>
          </w:p>
          <w:p>
            <w:pPr>
              <w:spacing w:line="360" w:lineRule="auto"/>
              <w:rPr>
                <w:rFonts w:ascii="宋体" w:hAnsi="宋体" w:eastAsia="宋体" w:cs="宋体"/>
                <w:sz w:val="24"/>
                <w:szCs w:val="24"/>
              </w:rPr>
            </w:pPr>
            <w:r>
              <w:rPr>
                <w:rFonts w:hint="eastAsia" w:ascii="宋体" w:hAnsi="宋体" w:eastAsia="宋体" w:cs="宋体"/>
                <w:sz w:val="24"/>
                <w:szCs w:val="24"/>
              </w:rPr>
              <w:t>9.大屏支持自动开关机设置。</w:t>
            </w:r>
          </w:p>
          <w:p>
            <w:pPr>
              <w:spacing w:line="360" w:lineRule="auto"/>
              <w:rPr>
                <w:rFonts w:ascii="宋体" w:hAnsi="宋体" w:eastAsia="宋体" w:cs="宋体"/>
                <w:sz w:val="24"/>
                <w:szCs w:val="24"/>
              </w:rPr>
            </w:pPr>
            <w:r>
              <w:rPr>
                <w:rFonts w:hint="eastAsia" w:ascii="宋体" w:hAnsi="宋体" w:eastAsia="宋体" w:cs="宋体"/>
                <w:b/>
                <w:bCs/>
                <w:sz w:val="24"/>
                <w:szCs w:val="24"/>
                <w:highlight w:val="none"/>
              </w:rPr>
              <w:t>大屏拍摄使用视频进行演示</w:t>
            </w:r>
          </w:p>
        </w:tc>
      </w:tr>
    </w:tbl>
    <w:p>
      <w:pPr>
        <w:pStyle w:val="5"/>
        <w:tabs>
          <w:tab w:val="left" w:pos="426"/>
          <w:tab w:val="left" w:pos="993"/>
        </w:tabs>
        <w:rPr>
          <w:sz w:val="28"/>
          <w:szCs w:val="18"/>
        </w:rPr>
      </w:pPr>
      <w:bookmarkStart w:id="7" w:name="_Toc17580476"/>
      <w:r>
        <w:rPr>
          <w:rFonts w:hint="eastAsia"/>
          <w:sz w:val="28"/>
          <w:szCs w:val="18"/>
        </w:rPr>
        <w:t>系统维护工具</w:t>
      </w:r>
      <w:bookmarkEnd w:id="7"/>
    </w:p>
    <w:tbl>
      <w:tblPr>
        <w:tblStyle w:val="5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236"/>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序号</w:t>
            </w:r>
          </w:p>
        </w:tc>
        <w:tc>
          <w:tcPr>
            <w:tcW w:w="2236"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功能名称</w:t>
            </w:r>
          </w:p>
        </w:tc>
        <w:tc>
          <w:tcPr>
            <w:tcW w:w="5550" w:type="dxa"/>
            <w:vAlign w:val="center"/>
          </w:tcPr>
          <w:p>
            <w:pPr>
              <w:spacing w:line="360" w:lineRule="auto"/>
              <w:jc w:val="center"/>
              <w:rPr>
                <w:rFonts w:ascii="宋体" w:hAnsi="Calibri" w:eastAsia="宋体" w:cs="宋体"/>
                <w:b/>
                <w:sz w:val="24"/>
                <w:szCs w:val="24"/>
              </w:rPr>
            </w:pPr>
            <w:r>
              <w:rPr>
                <w:rFonts w:hint="eastAsia" w:ascii="宋体" w:hAnsi="宋体" w:eastAsia="宋体" w:cs="宋体"/>
                <w:b/>
                <w:bCs/>
                <w:kern w:val="0"/>
                <w:sz w:val="24"/>
                <w:szCs w:val="24"/>
                <w:lang w:val="zh-CN"/>
              </w:rPr>
              <w:t>技术指标参数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widowControl/>
              <w:spacing w:line="360" w:lineRule="auto"/>
              <w:jc w:val="center"/>
              <w:rPr>
                <w:rFonts w:ascii="宋体" w:hAnsi="宋体" w:eastAsia="宋体" w:cs="宋体"/>
                <w:b/>
                <w:bCs/>
                <w:kern w:val="0"/>
                <w:sz w:val="24"/>
                <w:szCs w:val="24"/>
              </w:rPr>
            </w:pPr>
            <w:r>
              <w:rPr>
                <w:rFonts w:ascii="宋体" w:hAnsi="宋体" w:eastAsia="宋体" w:cs="宋体"/>
                <w:b/>
                <w:bCs/>
                <w:kern w:val="0"/>
                <w:sz w:val="24"/>
                <w:szCs w:val="24"/>
              </w:rPr>
              <w:t>1</w:t>
            </w:r>
          </w:p>
        </w:tc>
        <w:tc>
          <w:tcPr>
            <w:tcW w:w="2236" w:type="dxa"/>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蓝牙巡检工具</w:t>
            </w:r>
          </w:p>
        </w:tc>
        <w:tc>
          <w:tcPr>
            <w:tcW w:w="5550" w:type="dxa"/>
            <w:vAlign w:val="center"/>
          </w:tcPr>
          <w:p>
            <w:pPr>
              <w:widowControl/>
              <w:spacing w:line="360" w:lineRule="auto"/>
              <w:jc w:val="left"/>
              <w:rPr>
                <w:rFonts w:ascii="宋体" w:hAnsi="Calibri" w:eastAsia="宋体" w:cs="宋体"/>
                <w:bCs/>
                <w:kern w:val="0"/>
                <w:sz w:val="24"/>
                <w:szCs w:val="24"/>
              </w:rPr>
            </w:pPr>
            <w:r>
              <w:rPr>
                <w:rFonts w:hint="eastAsia" w:ascii="宋体" w:hAnsi="宋体" w:eastAsia="宋体" w:cs="宋体"/>
                <w:bCs/>
                <w:kern w:val="0"/>
                <w:sz w:val="24"/>
                <w:szCs w:val="24"/>
              </w:rPr>
              <w:t>提供对蓝牙设备的巡检工具，以便检测蓝牙设备是否遗失、是否正常工作。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widowControl/>
              <w:spacing w:line="360" w:lineRule="auto"/>
              <w:jc w:val="center"/>
              <w:rPr>
                <w:rFonts w:ascii="宋体" w:hAnsi="宋体" w:eastAsia="宋体" w:cs="宋体"/>
                <w:b/>
                <w:bCs/>
                <w:kern w:val="0"/>
                <w:sz w:val="24"/>
                <w:szCs w:val="24"/>
              </w:rPr>
            </w:pPr>
            <w:r>
              <w:rPr>
                <w:rFonts w:ascii="宋体" w:hAnsi="宋体" w:eastAsia="宋体" w:cs="宋体"/>
                <w:b/>
                <w:bCs/>
                <w:kern w:val="0"/>
                <w:sz w:val="24"/>
                <w:szCs w:val="24"/>
              </w:rPr>
              <w:t>2</w:t>
            </w:r>
          </w:p>
        </w:tc>
        <w:tc>
          <w:tcPr>
            <w:tcW w:w="2236" w:type="dxa"/>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蓝牙管理工具</w:t>
            </w:r>
          </w:p>
        </w:tc>
        <w:tc>
          <w:tcPr>
            <w:tcW w:w="5550" w:type="dxa"/>
            <w:vAlign w:val="center"/>
          </w:tcPr>
          <w:p>
            <w:pPr>
              <w:widowControl/>
              <w:spacing w:line="360" w:lineRule="auto"/>
              <w:jc w:val="left"/>
              <w:rPr>
                <w:rFonts w:ascii="宋体" w:hAnsi="Calibri" w:eastAsia="宋体" w:cs="宋体"/>
                <w:bCs/>
                <w:kern w:val="0"/>
                <w:sz w:val="24"/>
                <w:szCs w:val="24"/>
              </w:rPr>
            </w:pPr>
            <w:r>
              <w:rPr>
                <w:rFonts w:hint="eastAsia" w:ascii="宋体" w:hAnsi="宋体" w:eastAsia="宋体" w:cs="宋体"/>
                <w:bCs/>
                <w:kern w:val="0"/>
                <w:sz w:val="24"/>
                <w:szCs w:val="24"/>
              </w:rPr>
              <w:t>提供对蓝牙设备的管理工具，可以展现蓝牙定位设备运行状态数据，如参数、电量、位置等。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widowControl/>
              <w:spacing w:line="360" w:lineRule="auto"/>
              <w:jc w:val="center"/>
              <w:rPr>
                <w:rFonts w:ascii="宋体" w:hAnsi="宋体" w:eastAsia="宋体" w:cs="宋体"/>
                <w:b/>
                <w:bCs/>
                <w:kern w:val="0"/>
                <w:sz w:val="24"/>
                <w:szCs w:val="24"/>
              </w:rPr>
            </w:pPr>
            <w:r>
              <w:rPr>
                <w:rFonts w:ascii="宋体" w:hAnsi="宋体" w:eastAsia="宋体" w:cs="宋体"/>
                <w:b/>
                <w:bCs/>
                <w:kern w:val="0"/>
                <w:sz w:val="24"/>
                <w:szCs w:val="24"/>
              </w:rPr>
              <w:t>3</w:t>
            </w:r>
          </w:p>
        </w:tc>
        <w:tc>
          <w:tcPr>
            <w:tcW w:w="2236" w:type="dxa"/>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地图</w:t>
            </w:r>
            <w:r>
              <w:rPr>
                <w:rFonts w:ascii="宋体" w:hAnsi="宋体" w:eastAsia="宋体" w:cs="宋体"/>
                <w:b/>
                <w:bCs/>
                <w:kern w:val="0"/>
                <w:sz w:val="24"/>
                <w:szCs w:val="24"/>
              </w:rPr>
              <w:t>POI</w:t>
            </w:r>
            <w:r>
              <w:rPr>
                <w:rFonts w:hint="eastAsia" w:ascii="宋体" w:hAnsi="宋体" w:eastAsia="宋体" w:cs="宋体"/>
                <w:b/>
                <w:bCs/>
                <w:kern w:val="0"/>
                <w:sz w:val="24"/>
                <w:szCs w:val="24"/>
              </w:rPr>
              <w:t>修改工具</w:t>
            </w:r>
          </w:p>
        </w:tc>
        <w:tc>
          <w:tcPr>
            <w:tcW w:w="5550" w:type="dxa"/>
            <w:vAlign w:val="center"/>
          </w:tcPr>
          <w:p>
            <w:pPr>
              <w:widowControl/>
              <w:spacing w:line="360" w:lineRule="auto"/>
              <w:jc w:val="left"/>
              <w:rPr>
                <w:rFonts w:ascii="宋体" w:hAnsi="Calibri" w:eastAsia="宋体" w:cs="宋体"/>
                <w:bCs/>
                <w:kern w:val="0"/>
                <w:sz w:val="24"/>
                <w:szCs w:val="24"/>
              </w:rPr>
            </w:pPr>
            <w:r>
              <w:rPr>
                <w:rFonts w:hint="eastAsia" w:ascii="宋体" w:hAnsi="宋体" w:eastAsia="宋体" w:cs="宋体"/>
                <w:bCs/>
                <w:kern w:val="0"/>
                <w:sz w:val="24"/>
                <w:szCs w:val="24"/>
              </w:rPr>
              <w:t>医院的科室布局不定期会出现变化，提供对医院地图数据进行编辑的</w:t>
            </w:r>
            <w:r>
              <w:rPr>
                <w:rFonts w:ascii="宋体" w:hAnsi="宋体" w:eastAsia="宋体" w:cs="宋体"/>
                <w:bCs/>
                <w:kern w:val="0"/>
                <w:sz w:val="24"/>
                <w:szCs w:val="24"/>
              </w:rPr>
              <w:t>APP</w:t>
            </w:r>
            <w:r>
              <w:rPr>
                <w:rFonts w:hint="eastAsia" w:ascii="宋体" w:hAnsi="宋体" w:eastAsia="宋体" w:cs="宋体"/>
                <w:bCs/>
                <w:kern w:val="0"/>
                <w:sz w:val="24"/>
                <w:szCs w:val="24"/>
              </w:rPr>
              <w:t>工具，可实时修改医院的科室名称，保证导航目的地的正确</w:t>
            </w:r>
            <w:r>
              <w:rPr>
                <w:rFonts w:hint="eastAsia" w:ascii="宋体" w:hAnsi="宋体" w:eastAsia="宋体" w:cs="宋体"/>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widowControl/>
              <w:spacing w:line="360" w:lineRule="auto"/>
              <w:jc w:val="center"/>
              <w:rPr>
                <w:rFonts w:ascii="宋体" w:hAnsi="Calibri" w:eastAsia="宋体" w:cs="宋体"/>
                <w:b/>
                <w:bCs/>
                <w:kern w:val="0"/>
                <w:sz w:val="24"/>
                <w:szCs w:val="24"/>
              </w:rPr>
            </w:pPr>
            <w:r>
              <w:rPr>
                <w:rFonts w:ascii="宋体" w:hAnsi="宋体" w:eastAsia="宋体" w:cs="宋体"/>
                <w:b/>
                <w:bCs/>
                <w:kern w:val="0"/>
                <w:sz w:val="24"/>
                <w:szCs w:val="24"/>
              </w:rPr>
              <w:t>4</w:t>
            </w:r>
          </w:p>
        </w:tc>
        <w:tc>
          <w:tcPr>
            <w:tcW w:w="2236" w:type="dxa"/>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路网修改工具</w:t>
            </w:r>
          </w:p>
        </w:tc>
        <w:tc>
          <w:tcPr>
            <w:tcW w:w="5550" w:type="dxa"/>
            <w:vAlign w:val="center"/>
          </w:tcPr>
          <w:p>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1、院内扶梯方向会不定期进行变更，应提供对院内扶梯方向进行定时修改的工具，保证院内导航过程中不会因扶梯方向导致问题。</w:t>
            </w:r>
          </w:p>
          <w:p>
            <w:pPr>
              <w:widowControl/>
              <w:spacing w:line="360" w:lineRule="auto"/>
              <w:jc w:val="left"/>
              <w:rPr>
                <w:rFonts w:ascii="宋体" w:hAnsi="Calibri" w:eastAsia="宋体" w:cs="宋体"/>
                <w:bCs/>
                <w:kern w:val="0"/>
                <w:sz w:val="24"/>
                <w:szCs w:val="24"/>
              </w:rPr>
            </w:pPr>
            <w:r>
              <w:rPr>
                <w:rFonts w:hint="eastAsia" w:ascii="宋体" w:hAnsi="宋体" w:eastAsia="宋体" w:cs="宋体"/>
                <w:bCs/>
                <w:kern w:val="0"/>
                <w:sz w:val="24"/>
                <w:szCs w:val="24"/>
              </w:rPr>
              <w:t>2、院内相关位置会不定期进行装修，医院可以根据软件修改医院通行路线之间的连通性，可以点选某段导航路线来设置其不通行，也可以根据多种时间策略来设置其通行和不通行的时间。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widowControl/>
              <w:spacing w:line="360" w:lineRule="auto"/>
              <w:jc w:val="center"/>
              <w:rPr>
                <w:rFonts w:ascii="宋体" w:hAnsi="Calibri" w:eastAsia="宋体" w:cs="宋体"/>
                <w:b/>
                <w:bCs/>
                <w:kern w:val="0"/>
                <w:sz w:val="24"/>
                <w:szCs w:val="24"/>
              </w:rPr>
            </w:pPr>
            <w:r>
              <w:rPr>
                <w:rFonts w:ascii="宋体" w:hAnsi="宋体" w:eastAsia="宋体" w:cs="宋体"/>
                <w:b/>
                <w:bCs/>
                <w:kern w:val="0"/>
                <w:sz w:val="24"/>
                <w:szCs w:val="24"/>
              </w:rPr>
              <w:t>5</w:t>
            </w:r>
          </w:p>
        </w:tc>
        <w:tc>
          <w:tcPr>
            <w:tcW w:w="2236" w:type="dxa"/>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地图渲染工具</w:t>
            </w:r>
          </w:p>
        </w:tc>
        <w:tc>
          <w:tcPr>
            <w:tcW w:w="5550" w:type="dxa"/>
            <w:vAlign w:val="center"/>
          </w:tcPr>
          <w:p>
            <w:pPr>
              <w:widowControl/>
              <w:spacing w:line="360" w:lineRule="auto"/>
              <w:jc w:val="left"/>
              <w:rPr>
                <w:rFonts w:ascii="宋体" w:hAnsi="Calibri" w:eastAsia="宋体" w:cs="宋体"/>
                <w:bCs/>
                <w:kern w:val="0"/>
                <w:sz w:val="24"/>
                <w:szCs w:val="24"/>
              </w:rPr>
            </w:pPr>
            <w:r>
              <w:rPr>
                <w:rFonts w:hint="eastAsia" w:ascii="宋体" w:hAnsi="宋体" w:eastAsia="宋体" w:cs="宋体"/>
                <w:bCs/>
                <w:kern w:val="0"/>
                <w:sz w:val="24"/>
                <w:szCs w:val="24"/>
              </w:rPr>
              <w:t>能提供</w:t>
            </w:r>
            <w:r>
              <w:rPr>
                <w:rFonts w:ascii="宋体" w:hAnsi="宋体" w:eastAsia="宋体" w:cs="宋体"/>
                <w:bCs/>
                <w:kern w:val="0"/>
                <w:sz w:val="24"/>
                <w:szCs w:val="24"/>
              </w:rPr>
              <w:t>WEB</w:t>
            </w:r>
            <w:r>
              <w:rPr>
                <w:rFonts w:hint="eastAsia" w:ascii="宋体" w:hAnsi="宋体" w:eastAsia="宋体" w:cs="宋体"/>
                <w:bCs/>
                <w:kern w:val="0"/>
                <w:sz w:val="24"/>
                <w:szCs w:val="24"/>
              </w:rPr>
              <w:t>端工具直接对向量地图进行渲染美化，依据院方要求个性化定制颜色</w:t>
            </w:r>
            <w:r>
              <w:rPr>
                <w:rFonts w:hint="eastAsia" w:ascii="宋体" w:hAnsi="宋体" w:eastAsia="宋体" w:cs="宋体"/>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6</w:t>
            </w:r>
          </w:p>
        </w:tc>
        <w:tc>
          <w:tcPr>
            <w:tcW w:w="2236" w:type="dxa"/>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地图配色切换</w:t>
            </w:r>
          </w:p>
        </w:tc>
        <w:tc>
          <w:tcPr>
            <w:tcW w:w="5550" w:type="dxa"/>
            <w:vAlign w:val="center"/>
          </w:tcPr>
          <w:p>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地图配色根据时间自动切换，支持地图配色随时间不同而自动切换，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7</w:t>
            </w:r>
          </w:p>
        </w:tc>
        <w:tc>
          <w:tcPr>
            <w:tcW w:w="2236" w:type="dxa"/>
            <w:vAlign w:val="center"/>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蓝牙监控网关</w:t>
            </w:r>
          </w:p>
        </w:tc>
        <w:tc>
          <w:tcPr>
            <w:tcW w:w="5550" w:type="dxa"/>
            <w:vAlign w:val="center"/>
          </w:tcPr>
          <w:p>
            <w:pPr>
              <w:widowControl/>
              <w:spacing w:line="360" w:lineRule="auto"/>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提供蓝牙监控网关，可随时监控蓝牙实时的电量，状态。并提供web端可以随时调取蓝牙实时监控数据。</w:t>
            </w:r>
          </w:p>
        </w:tc>
      </w:tr>
    </w:tbl>
    <w:p>
      <w:pPr>
        <w:widowControl/>
        <w:spacing w:before="120" w:after="240"/>
        <w:rPr>
          <w:rFonts w:ascii="Calibri" w:hAnsi="Calibri" w:eastAsia="宋体" w:cs="Times New Roman"/>
          <w:kern w:val="0"/>
          <w:sz w:val="22"/>
          <w:lang w:val="ru-RU"/>
        </w:rPr>
      </w:pPr>
      <w:bookmarkStart w:id="8" w:name="_Toc17580477"/>
    </w:p>
    <w:p>
      <w:pPr>
        <w:pStyle w:val="5"/>
        <w:tabs>
          <w:tab w:val="left" w:pos="426"/>
          <w:tab w:val="left" w:pos="993"/>
        </w:tabs>
        <w:rPr>
          <w:sz w:val="28"/>
          <w:szCs w:val="18"/>
        </w:rPr>
      </w:pPr>
      <w:r>
        <w:rPr>
          <w:rFonts w:hint="eastAsia"/>
          <w:sz w:val="28"/>
          <w:szCs w:val="18"/>
        </w:rPr>
        <w:t>支持平台</w:t>
      </w:r>
      <w:r>
        <w:rPr>
          <w:sz w:val="28"/>
          <w:szCs w:val="18"/>
        </w:rPr>
        <w:t>/</w:t>
      </w:r>
      <w:r>
        <w:rPr>
          <w:rFonts w:hint="eastAsia"/>
          <w:sz w:val="28"/>
          <w:szCs w:val="18"/>
        </w:rPr>
        <w:t>数据接口</w:t>
      </w:r>
      <w:bookmarkEnd w:id="8"/>
    </w:p>
    <w:tbl>
      <w:tblPr>
        <w:tblStyle w:val="5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241"/>
        <w:gridCol w:w="5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序号</w:t>
            </w:r>
          </w:p>
        </w:tc>
        <w:tc>
          <w:tcPr>
            <w:tcW w:w="2241" w:type="dxa"/>
            <w:tcBorders>
              <w:left w:val="nil"/>
            </w:tcBorders>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功能名称</w:t>
            </w:r>
          </w:p>
        </w:tc>
        <w:tc>
          <w:tcPr>
            <w:tcW w:w="5566" w:type="dxa"/>
            <w:tcBorders>
              <w:left w:val="nil"/>
            </w:tcBorders>
            <w:vAlign w:val="center"/>
          </w:tcPr>
          <w:p>
            <w:pPr>
              <w:spacing w:line="360" w:lineRule="auto"/>
              <w:jc w:val="center"/>
              <w:rPr>
                <w:rFonts w:ascii="宋体" w:hAnsi="Calibri" w:eastAsia="宋体" w:cs="宋体"/>
                <w:b/>
                <w:sz w:val="24"/>
                <w:szCs w:val="24"/>
              </w:rPr>
            </w:pPr>
            <w:r>
              <w:rPr>
                <w:rFonts w:hint="eastAsia" w:ascii="宋体" w:hAnsi="宋体" w:eastAsia="宋体" w:cs="宋体"/>
                <w:b/>
                <w:bCs/>
                <w:kern w:val="0"/>
                <w:sz w:val="24"/>
                <w:szCs w:val="24"/>
                <w:lang w:val="zh-CN"/>
              </w:rPr>
              <w:t>技术指标参数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14" w:type="dxa"/>
            <w:tcBorders>
              <w:top w:val="nil"/>
            </w:tcBorders>
            <w:vAlign w:val="center"/>
          </w:tcPr>
          <w:p>
            <w:pPr>
              <w:widowControl/>
              <w:spacing w:line="360" w:lineRule="auto"/>
              <w:jc w:val="center"/>
              <w:rPr>
                <w:rFonts w:ascii="宋体" w:hAnsi="宋体" w:eastAsia="宋体" w:cs="宋体"/>
                <w:b/>
                <w:bCs/>
                <w:kern w:val="0"/>
                <w:sz w:val="24"/>
                <w:szCs w:val="24"/>
              </w:rPr>
            </w:pPr>
            <w:r>
              <w:rPr>
                <w:rFonts w:ascii="宋体" w:hAnsi="宋体" w:eastAsia="宋体" w:cs="宋体"/>
                <w:b/>
                <w:bCs/>
                <w:kern w:val="0"/>
                <w:sz w:val="24"/>
                <w:szCs w:val="24"/>
              </w:rPr>
              <w:t>1</w:t>
            </w:r>
          </w:p>
        </w:tc>
        <w:tc>
          <w:tcPr>
            <w:tcW w:w="2241" w:type="dxa"/>
            <w:tcBorders>
              <w:top w:val="nil"/>
              <w:left w:val="nil"/>
            </w:tcBorders>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终端</w:t>
            </w:r>
          </w:p>
        </w:tc>
        <w:tc>
          <w:tcPr>
            <w:tcW w:w="5566" w:type="dxa"/>
            <w:tcBorders>
              <w:top w:val="nil"/>
              <w:left w:val="nil"/>
            </w:tcBorders>
            <w:vAlign w:val="center"/>
          </w:tcPr>
          <w:p>
            <w:pPr>
              <w:spacing w:line="360" w:lineRule="auto"/>
              <w:rPr>
                <w:rFonts w:ascii="宋体" w:hAnsi="Calibri" w:eastAsia="宋体" w:cs="宋体"/>
                <w:bCs/>
                <w:kern w:val="0"/>
                <w:sz w:val="24"/>
                <w:szCs w:val="24"/>
              </w:rPr>
            </w:pPr>
            <w:r>
              <w:rPr>
                <w:rFonts w:hint="eastAsia" w:ascii="宋体" w:hAnsi="宋体" w:eastAsia="宋体" w:cs="宋体"/>
                <w:bCs/>
                <w:kern w:val="0"/>
                <w:sz w:val="24"/>
                <w:szCs w:val="24"/>
              </w:rPr>
              <w:t>支持</w:t>
            </w:r>
            <w:r>
              <w:rPr>
                <w:rFonts w:ascii="宋体" w:hAnsi="宋体" w:eastAsia="宋体" w:cs="宋体"/>
                <w:bCs/>
                <w:kern w:val="0"/>
                <w:sz w:val="24"/>
                <w:szCs w:val="24"/>
              </w:rPr>
              <w:t>IOS 7.0</w:t>
            </w:r>
            <w:r>
              <w:rPr>
                <w:rFonts w:hint="eastAsia" w:ascii="宋体" w:hAnsi="宋体" w:eastAsia="宋体" w:cs="宋体"/>
                <w:bCs/>
                <w:kern w:val="0"/>
                <w:sz w:val="24"/>
                <w:szCs w:val="24"/>
              </w:rPr>
              <w:t>及以上，</w:t>
            </w:r>
            <w:r>
              <w:rPr>
                <w:rFonts w:ascii="宋体" w:hAnsi="宋体" w:eastAsia="宋体" w:cs="宋体"/>
                <w:bCs/>
                <w:kern w:val="0"/>
                <w:sz w:val="24"/>
                <w:szCs w:val="24"/>
              </w:rPr>
              <w:t>Android 4.3</w:t>
            </w:r>
            <w:r>
              <w:rPr>
                <w:rFonts w:hint="eastAsia" w:ascii="宋体" w:hAnsi="宋体" w:eastAsia="宋体" w:cs="宋体"/>
                <w:bCs/>
                <w:kern w:val="0"/>
                <w:sz w:val="24"/>
                <w:szCs w:val="24"/>
              </w:rPr>
              <w:t>及以上的移动终端系统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14" w:type="dxa"/>
            <w:tcBorders>
              <w:top w:val="nil"/>
            </w:tcBorders>
            <w:vAlign w:val="center"/>
          </w:tcPr>
          <w:p>
            <w:pPr>
              <w:widowControl/>
              <w:spacing w:line="360" w:lineRule="auto"/>
              <w:jc w:val="center"/>
              <w:rPr>
                <w:rFonts w:ascii="宋体" w:hAnsi="宋体" w:eastAsia="宋体" w:cs="宋体"/>
                <w:b/>
                <w:bCs/>
                <w:kern w:val="0"/>
                <w:sz w:val="24"/>
                <w:szCs w:val="24"/>
              </w:rPr>
            </w:pPr>
            <w:r>
              <w:rPr>
                <w:rFonts w:ascii="宋体" w:hAnsi="宋体" w:eastAsia="宋体" w:cs="宋体"/>
                <w:b/>
                <w:bCs/>
                <w:kern w:val="0"/>
                <w:sz w:val="24"/>
                <w:szCs w:val="24"/>
              </w:rPr>
              <w:t>2</w:t>
            </w:r>
          </w:p>
        </w:tc>
        <w:tc>
          <w:tcPr>
            <w:tcW w:w="2241" w:type="dxa"/>
            <w:tcBorders>
              <w:top w:val="nil"/>
              <w:left w:val="nil"/>
            </w:tcBorders>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掌医</w:t>
            </w:r>
            <w:r>
              <w:rPr>
                <w:rFonts w:ascii="宋体" w:hAnsi="宋体" w:eastAsia="宋体" w:cs="宋体"/>
                <w:b/>
                <w:bCs/>
                <w:kern w:val="0"/>
                <w:sz w:val="24"/>
                <w:szCs w:val="24"/>
              </w:rPr>
              <w:t>APP</w:t>
            </w:r>
          </w:p>
        </w:tc>
        <w:tc>
          <w:tcPr>
            <w:tcW w:w="5566" w:type="dxa"/>
            <w:tcBorders>
              <w:top w:val="nil"/>
              <w:left w:val="nil"/>
            </w:tcBorders>
            <w:vAlign w:val="center"/>
          </w:tcPr>
          <w:p>
            <w:pPr>
              <w:spacing w:line="360" w:lineRule="auto"/>
              <w:rPr>
                <w:rFonts w:ascii="宋体" w:hAnsi="Calibri" w:eastAsia="宋体" w:cs="宋体"/>
                <w:bCs/>
                <w:kern w:val="0"/>
                <w:sz w:val="24"/>
                <w:szCs w:val="24"/>
              </w:rPr>
            </w:pPr>
            <w:r>
              <w:rPr>
                <w:rFonts w:hint="eastAsia" w:ascii="宋体" w:hAnsi="宋体" w:eastAsia="宋体" w:cs="宋体"/>
                <w:bCs/>
                <w:kern w:val="0"/>
                <w:sz w:val="24"/>
                <w:szCs w:val="24"/>
              </w:rPr>
              <w:t>支持</w:t>
            </w:r>
            <w:r>
              <w:rPr>
                <w:rFonts w:hint="eastAsia" w:ascii="宋体" w:hAnsi="宋体" w:eastAsia="宋体" w:cs="宋体"/>
                <w:sz w:val="24"/>
                <w:szCs w:val="24"/>
              </w:rPr>
              <w:t>以</w:t>
            </w:r>
            <w:r>
              <w:rPr>
                <w:rFonts w:ascii="宋体" w:hAnsi="宋体" w:eastAsia="宋体" w:cs="宋体"/>
                <w:sz w:val="24"/>
                <w:szCs w:val="24"/>
              </w:rPr>
              <w:t>HTML5</w:t>
            </w:r>
            <w:r>
              <w:rPr>
                <w:rFonts w:hint="eastAsia" w:ascii="宋体" w:hAnsi="宋体" w:eastAsia="宋体" w:cs="宋体"/>
                <w:sz w:val="24"/>
                <w:szCs w:val="24"/>
              </w:rPr>
              <w:t>链接形式</w:t>
            </w:r>
            <w:r>
              <w:rPr>
                <w:rFonts w:hint="eastAsia" w:ascii="宋体" w:hAnsi="宋体" w:eastAsia="宋体" w:cs="宋体"/>
                <w:bCs/>
                <w:kern w:val="0"/>
                <w:sz w:val="24"/>
                <w:szCs w:val="24"/>
              </w:rPr>
              <w:t>嵌入到医院掌医</w:t>
            </w:r>
            <w:r>
              <w:rPr>
                <w:rFonts w:ascii="宋体" w:hAnsi="宋体" w:eastAsia="宋体" w:cs="宋体"/>
                <w:bCs/>
                <w:kern w:val="0"/>
                <w:sz w:val="24"/>
                <w:szCs w:val="24"/>
              </w:rPr>
              <w:t>APP</w:t>
            </w:r>
            <w:r>
              <w:rPr>
                <w:rFonts w:hint="eastAsia" w:ascii="宋体" w:hAnsi="宋体" w:eastAsia="宋体" w:cs="宋体"/>
                <w:bCs/>
                <w:kern w:val="0"/>
                <w:sz w:val="24"/>
                <w:szCs w:val="24"/>
              </w:rPr>
              <w:t>（</w:t>
            </w:r>
            <w:r>
              <w:rPr>
                <w:rFonts w:ascii="宋体" w:hAnsi="宋体" w:eastAsia="宋体" w:cs="宋体"/>
                <w:bCs/>
                <w:kern w:val="0"/>
                <w:sz w:val="24"/>
                <w:szCs w:val="24"/>
              </w:rPr>
              <w:t>IOS</w:t>
            </w:r>
            <w:r>
              <w:rPr>
                <w:rFonts w:hint="eastAsia" w:ascii="宋体" w:hAnsi="宋体" w:eastAsia="宋体" w:cs="宋体"/>
                <w:bCs/>
                <w:kern w:val="0"/>
                <w:sz w:val="24"/>
                <w:szCs w:val="24"/>
              </w:rPr>
              <w:t>和</w:t>
            </w:r>
            <w:r>
              <w:rPr>
                <w:rFonts w:ascii="宋体" w:hAnsi="宋体" w:eastAsia="宋体" w:cs="宋体"/>
                <w:bCs/>
                <w:kern w:val="0"/>
                <w:sz w:val="24"/>
                <w:szCs w:val="24"/>
              </w:rPr>
              <w:t>Android</w:t>
            </w:r>
            <w:r>
              <w:rPr>
                <w:rFonts w:hint="eastAsia" w:ascii="宋体" w:hAnsi="宋体" w:eastAsia="宋体" w:cs="宋体"/>
                <w:bCs/>
                <w:kern w:val="0"/>
                <w:sz w:val="24"/>
                <w:szCs w:val="24"/>
              </w:rPr>
              <w:t>系统）（如有）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14" w:type="dxa"/>
            <w:tcBorders>
              <w:top w:val="nil"/>
            </w:tcBorders>
            <w:vAlign w:val="center"/>
          </w:tcPr>
          <w:p>
            <w:pPr>
              <w:widowControl/>
              <w:spacing w:line="360" w:lineRule="auto"/>
              <w:jc w:val="center"/>
              <w:rPr>
                <w:rFonts w:ascii="宋体" w:hAnsi="宋体" w:eastAsia="宋体" w:cs="宋体"/>
                <w:b/>
                <w:bCs/>
                <w:kern w:val="0"/>
                <w:sz w:val="24"/>
                <w:szCs w:val="24"/>
              </w:rPr>
            </w:pPr>
            <w:r>
              <w:rPr>
                <w:rFonts w:ascii="宋体" w:hAnsi="宋体" w:eastAsia="宋体" w:cs="宋体"/>
                <w:b/>
                <w:bCs/>
                <w:kern w:val="0"/>
                <w:sz w:val="24"/>
                <w:szCs w:val="24"/>
              </w:rPr>
              <w:t>3</w:t>
            </w:r>
          </w:p>
        </w:tc>
        <w:tc>
          <w:tcPr>
            <w:tcW w:w="2241" w:type="dxa"/>
            <w:tcBorders>
              <w:top w:val="nil"/>
              <w:left w:val="nil"/>
            </w:tcBorders>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微信公众号</w:t>
            </w:r>
          </w:p>
        </w:tc>
        <w:tc>
          <w:tcPr>
            <w:tcW w:w="5566" w:type="dxa"/>
            <w:tcBorders>
              <w:top w:val="nil"/>
              <w:left w:val="nil"/>
            </w:tcBorders>
            <w:vAlign w:val="center"/>
          </w:tcPr>
          <w:p>
            <w:pPr>
              <w:widowControl/>
              <w:spacing w:line="360" w:lineRule="auto"/>
              <w:rPr>
                <w:rFonts w:ascii="宋体" w:hAnsi="Calibri" w:eastAsia="宋体" w:cs="宋体"/>
                <w:bCs/>
                <w:kern w:val="0"/>
                <w:sz w:val="24"/>
                <w:szCs w:val="24"/>
              </w:rPr>
            </w:pPr>
            <w:r>
              <w:rPr>
                <w:rFonts w:hint="eastAsia" w:ascii="宋体" w:hAnsi="宋体" w:eastAsia="宋体" w:cs="宋体"/>
                <w:bCs/>
                <w:kern w:val="0"/>
                <w:sz w:val="24"/>
                <w:szCs w:val="24"/>
              </w:rPr>
              <w:t>支持</w:t>
            </w:r>
            <w:r>
              <w:rPr>
                <w:rFonts w:hint="eastAsia" w:ascii="宋体" w:hAnsi="宋体" w:eastAsia="宋体" w:cs="宋体"/>
                <w:sz w:val="24"/>
                <w:szCs w:val="24"/>
              </w:rPr>
              <w:t>以</w:t>
            </w:r>
            <w:r>
              <w:rPr>
                <w:rFonts w:ascii="宋体" w:hAnsi="宋体" w:eastAsia="宋体" w:cs="宋体"/>
                <w:sz w:val="24"/>
                <w:szCs w:val="24"/>
              </w:rPr>
              <w:t>HTML5</w:t>
            </w:r>
            <w:r>
              <w:rPr>
                <w:rFonts w:hint="eastAsia" w:ascii="宋体" w:hAnsi="宋体" w:eastAsia="宋体" w:cs="宋体"/>
                <w:sz w:val="24"/>
                <w:szCs w:val="24"/>
              </w:rPr>
              <w:t>链接形式</w:t>
            </w:r>
            <w:r>
              <w:rPr>
                <w:rFonts w:hint="eastAsia" w:ascii="宋体" w:hAnsi="宋体" w:eastAsia="宋体" w:cs="宋体"/>
                <w:bCs/>
                <w:kern w:val="0"/>
                <w:sz w:val="24"/>
                <w:szCs w:val="24"/>
              </w:rPr>
              <w:t>嵌入到医院微信公众号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4" w:type="dxa"/>
            <w:tcBorders>
              <w:top w:val="nil"/>
            </w:tcBorders>
            <w:vAlign w:val="center"/>
          </w:tcPr>
          <w:p>
            <w:pPr>
              <w:widowControl/>
              <w:spacing w:line="360" w:lineRule="auto"/>
              <w:jc w:val="center"/>
              <w:rPr>
                <w:rFonts w:ascii="宋体" w:hAnsi="Calibri" w:eastAsia="宋体" w:cs="宋体"/>
                <w:b/>
                <w:bCs/>
                <w:kern w:val="0"/>
                <w:sz w:val="24"/>
                <w:szCs w:val="24"/>
              </w:rPr>
            </w:pPr>
            <w:r>
              <w:rPr>
                <w:rFonts w:ascii="宋体" w:hAnsi="宋体" w:eastAsia="宋体" w:cs="宋体"/>
                <w:b/>
                <w:bCs/>
                <w:kern w:val="0"/>
                <w:sz w:val="24"/>
                <w:szCs w:val="24"/>
              </w:rPr>
              <w:t>4</w:t>
            </w:r>
          </w:p>
        </w:tc>
        <w:tc>
          <w:tcPr>
            <w:tcW w:w="2241" w:type="dxa"/>
            <w:tcBorders>
              <w:top w:val="nil"/>
              <w:left w:val="nil"/>
            </w:tcBorders>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支付宝生活号</w:t>
            </w:r>
          </w:p>
        </w:tc>
        <w:tc>
          <w:tcPr>
            <w:tcW w:w="5566" w:type="dxa"/>
            <w:tcBorders>
              <w:top w:val="nil"/>
              <w:left w:val="nil"/>
            </w:tcBorders>
            <w:vAlign w:val="center"/>
          </w:tcPr>
          <w:p>
            <w:pPr>
              <w:widowControl/>
              <w:spacing w:line="360" w:lineRule="auto"/>
              <w:rPr>
                <w:rFonts w:ascii="宋体" w:hAnsi="Calibri" w:eastAsia="宋体" w:cs="宋体"/>
                <w:bCs/>
                <w:kern w:val="0"/>
                <w:sz w:val="24"/>
                <w:szCs w:val="24"/>
              </w:rPr>
            </w:pPr>
            <w:r>
              <w:rPr>
                <w:rFonts w:hint="eastAsia" w:ascii="宋体" w:hAnsi="宋体" w:eastAsia="宋体" w:cs="宋体"/>
                <w:bCs/>
                <w:kern w:val="0"/>
                <w:sz w:val="24"/>
                <w:szCs w:val="24"/>
              </w:rPr>
              <w:t>支持</w:t>
            </w:r>
            <w:r>
              <w:rPr>
                <w:rFonts w:hint="eastAsia" w:ascii="宋体" w:hAnsi="宋体" w:eastAsia="宋体" w:cs="宋体"/>
                <w:sz w:val="24"/>
                <w:szCs w:val="24"/>
              </w:rPr>
              <w:t>以</w:t>
            </w:r>
            <w:r>
              <w:rPr>
                <w:rFonts w:ascii="宋体" w:hAnsi="宋体" w:eastAsia="宋体" w:cs="宋体"/>
                <w:sz w:val="24"/>
                <w:szCs w:val="24"/>
              </w:rPr>
              <w:t>HTML5</w:t>
            </w:r>
            <w:r>
              <w:rPr>
                <w:rFonts w:hint="eastAsia" w:ascii="宋体" w:hAnsi="宋体" w:eastAsia="宋体" w:cs="宋体"/>
                <w:sz w:val="24"/>
                <w:szCs w:val="24"/>
              </w:rPr>
              <w:t>链接形式</w:t>
            </w:r>
            <w:r>
              <w:rPr>
                <w:rFonts w:hint="eastAsia" w:ascii="宋体" w:hAnsi="宋体" w:eastAsia="宋体" w:cs="宋体"/>
                <w:bCs/>
                <w:kern w:val="0"/>
                <w:sz w:val="24"/>
                <w:szCs w:val="24"/>
              </w:rPr>
              <w:t>嵌入到支付宝生活号（如有）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4" w:type="dxa"/>
            <w:vAlign w:val="center"/>
          </w:tcPr>
          <w:p>
            <w:pPr>
              <w:widowControl/>
              <w:spacing w:line="360" w:lineRule="auto"/>
              <w:jc w:val="center"/>
              <w:rPr>
                <w:rFonts w:ascii="宋体" w:hAnsi="Calibri" w:eastAsia="宋体" w:cs="宋体"/>
                <w:b/>
                <w:bCs/>
                <w:kern w:val="0"/>
                <w:sz w:val="24"/>
                <w:szCs w:val="24"/>
              </w:rPr>
            </w:pPr>
            <w:r>
              <w:rPr>
                <w:rFonts w:ascii="宋体" w:hAnsi="宋体" w:eastAsia="宋体" w:cs="宋体"/>
                <w:b/>
                <w:bCs/>
                <w:kern w:val="0"/>
                <w:sz w:val="24"/>
                <w:szCs w:val="24"/>
              </w:rPr>
              <w:t>5</w:t>
            </w:r>
          </w:p>
        </w:tc>
        <w:tc>
          <w:tcPr>
            <w:tcW w:w="2241" w:type="dxa"/>
            <w:tcBorders>
              <w:left w:val="nil"/>
            </w:tcBorders>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小程序</w:t>
            </w:r>
          </w:p>
        </w:tc>
        <w:tc>
          <w:tcPr>
            <w:tcW w:w="5566" w:type="dxa"/>
            <w:tcBorders>
              <w:left w:val="nil"/>
            </w:tcBorders>
            <w:vAlign w:val="center"/>
          </w:tcPr>
          <w:p>
            <w:pPr>
              <w:spacing w:line="360" w:lineRule="auto"/>
              <w:rPr>
                <w:rFonts w:ascii="宋体" w:hAnsi="Calibri" w:eastAsia="宋体" w:cs="宋体"/>
                <w:bCs/>
                <w:kern w:val="0"/>
                <w:sz w:val="24"/>
                <w:szCs w:val="24"/>
              </w:rPr>
            </w:pPr>
            <w:r>
              <w:rPr>
                <w:rFonts w:hint="eastAsia" w:ascii="宋体" w:hAnsi="宋体" w:eastAsia="宋体" w:cs="宋体"/>
                <w:bCs/>
                <w:kern w:val="0"/>
                <w:sz w:val="24"/>
                <w:szCs w:val="24"/>
              </w:rPr>
              <w:t>支持</w:t>
            </w:r>
            <w:r>
              <w:rPr>
                <w:rFonts w:hint="eastAsia" w:ascii="宋体" w:hAnsi="宋体" w:eastAsia="宋体" w:cs="宋体"/>
                <w:sz w:val="24"/>
                <w:szCs w:val="24"/>
              </w:rPr>
              <w:t>以</w:t>
            </w:r>
            <w:r>
              <w:rPr>
                <w:rFonts w:ascii="宋体" w:hAnsi="宋体" w:eastAsia="宋体" w:cs="宋体"/>
                <w:sz w:val="24"/>
                <w:szCs w:val="24"/>
              </w:rPr>
              <w:t>HTML5</w:t>
            </w:r>
            <w:r>
              <w:rPr>
                <w:rFonts w:hint="eastAsia" w:ascii="宋体" w:hAnsi="宋体" w:eastAsia="宋体" w:cs="宋体"/>
                <w:sz w:val="24"/>
                <w:szCs w:val="24"/>
              </w:rPr>
              <w:t>链接形式</w:t>
            </w:r>
            <w:r>
              <w:rPr>
                <w:rFonts w:hint="eastAsia" w:ascii="宋体" w:hAnsi="宋体" w:eastAsia="宋体" w:cs="宋体"/>
                <w:bCs/>
                <w:kern w:val="0"/>
                <w:sz w:val="24"/>
                <w:szCs w:val="24"/>
              </w:rPr>
              <w:t>嵌入到医院小程序（如有）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4" w:type="dxa"/>
            <w:vAlign w:val="center"/>
          </w:tcPr>
          <w:p>
            <w:pPr>
              <w:widowControl/>
              <w:spacing w:line="360" w:lineRule="auto"/>
              <w:jc w:val="center"/>
              <w:rPr>
                <w:rFonts w:ascii="宋体" w:hAnsi="Calibri" w:eastAsia="宋体" w:cs="宋体"/>
                <w:b/>
                <w:bCs/>
                <w:kern w:val="0"/>
                <w:sz w:val="24"/>
                <w:szCs w:val="24"/>
              </w:rPr>
            </w:pPr>
            <w:r>
              <w:rPr>
                <w:rFonts w:ascii="宋体" w:hAnsi="宋体" w:eastAsia="宋体" w:cs="宋体"/>
                <w:b/>
                <w:bCs/>
                <w:kern w:val="0"/>
                <w:sz w:val="24"/>
                <w:szCs w:val="24"/>
              </w:rPr>
              <w:t>6</w:t>
            </w:r>
          </w:p>
        </w:tc>
        <w:tc>
          <w:tcPr>
            <w:tcW w:w="2241" w:type="dxa"/>
            <w:tcBorders>
              <w:left w:val="nil"/>
            </w:tcBorders>
            <w:vAlign w:val="center"/>
          </w:tcPr>
          <w:p>
            <w:pPr>
              <w:widowControl/>
              <w:spacing w:line="360" w:lineRule="auto"/>
              <w:jc w:val="center"/>
              <w:rPr>
                <w:rFonts w:ascii="宋体" w:hAnsi="Calibri" w:eastAsia="宋体" w:cs="宋体"/>
                <w:b/>
                <w:bCs/>
                <w:kern w:val="0"/>
                <w:sz w:val="24"/>
                <w:szCs w:val="24"/>
              </w:rPr>
            </w:pPr>
            <w:r>
              <w:rPr>
                <w:rFonts w:ascii="宋体" w:hAnsi="宋体" w:eastAsia="宋体" w:cs="宋体"/>
                <w:b/>
                <w:bCs/>
                <w:kern w:val="0"/>
                <w:sz w:val="24"/>
                <w:szCs w:val="24"/>
              </w:rPr>
              <w:t>SDK</w:t>
            </w:r>
            <w:r>
              <w:rPr>
                <w:rFonts w:hint="eastAsia" w:ascii="宋体" w:hAnsi="宋体" w:eastAsia="宋体" w:cs="宋体"/>
                <w:b/>
                <w:bCs/>
                <w:kern w:val="0"/>
                <w:sz w:val="24"/>
                <w:szCs w:val="24"/>
              </w:rPr>
              <w:t>及</w:t>
            </w:r>
            <w:r>
              <w:rPr>
                <w:rFonts w:ascii="宋体" w:hAnsi="宋体" w:eastAsia="宋体" w:cs="宋体"/>
                <w:b/>
                <w:bCs/>
                <w:kern w:val="0"/>
                <w:sz w:val="24"/>
                <w:szCs w:val="24"/>
              </w:rPr>
              <w:t>API</w:t>
            </w:r>
            <w:r>
              <w:rPr>
                <w:rFonts w:hint="eastAsia" w:ascii="宋体" w:hAnsi="宋体" w:eastAsia="宋体" w:cs="宋体"/>
                <w:b/>
                <w:bCs/>
                <w:kern w:val="0"/>
                <w:sz w:val="24"/>
                <w:szCs w:val="24"/>
              </w:rPr>
              <w:t>接口</w:t>
            </w:r>
          </w:p>
        </w:tc>
        <w:tc>
          <w:tcPr>
            <w:tcW w:w="5566" w:type="dxa"/>
            <w:tcBorders>
              <w:left w:val="nil"/>
            </w:tcBorders>
            <w:vAlign w:val="center"/>
          </w:tcPr>
          <w:p>
            <w:pPr>
              <w:spacing w:line="360" w:lineRule="auto"/>
              <w:rPr>
                <w:rFonts w:ascii="宋体" w:hAnsi="Calibri" w:eastAsia="宋体" w:cs="宋体"/>
                <w:bCs/>
                <w:kern w:val="0"/>
                <w:sz w:val="24"/>
                <w:szCs w:val="24"/>
              </w:rPr>
            </w:pPr>
            <w:r>
              <w:rPr>
                <w:rFonts w:hint="eastAsia" w:ascii="宋体" w:hAnsi="宋体" w:eastAsia="宋体" w:cs="宋体"/>
                <w:sz w:val="24"/>
                <w:szCs w:val="24"/>
              </w:rPr>
              <w:t>支持向第三方提供完整的</w:t>
            </w:r>
            <w:r>
              <w:rPr>
                <w:rFonts w:ascii="宋体" w:hAnsi="宋体" w:eastAsia="宋体" w:cs="宋体"/>
                <w:sz w:val="24"/>
                <w:szCs w:val="24"/>
              </w:rPr>
              <w:t>SDK</w:t>
            </w:r>
            <w:r>
              <w:rPr>
                <w:rFonts w:hint="eastAsia" w:ascii="宋体" w:hAnsi="宋体" w:eastAsia="宋体" w:cs="宋体"/>
                <w:sz w:val="24"/>
                <w:szCs w:val="24"/>
              </w:rPr>
              <w:t>套件以及</w:t>
            </w:r>
            <w:r>
              <w:rPr>
                <w:rFonts w:ascii="宋体" w:hAnsi="宋体" w:eastAsia="宋体" w:cs="宋体"/>
                <w:sz w:val="24"/>
                <w:szCs w:val="24"/>
              </w:rPr>
              <w:t>API</w:t>
            </w:r>
            <w:r>
              <w:rPr>
                <w:rFonts w:hint="eastAsia" w:ascii="宋体" w:hAnsi="宋体" w:eastAsia="宋体" w:cs="宋体"/>
                <w:sz w:val="24"/>
                <w:szCs w:val="24"/>
              </w:rPr>
              <w:t>接口。</w:t>
            </w:r>
          </w:p>
        </w:tc>
      </w:tr>
    </w:tbl>
    <w:p>
      <w:pPr>
        <w:pStyle w:val="5"/>
        <w:tabs>
          <w:tab w:val="left" w:pos="426"/>
          <w:tab w:val="left" w:pos="993"/>
        </w:tabs>
        <w:rPr>
          <w:sz w:val="28"/>
          <w:szCs w:val="18"/>
        </w:rPr>
      </w:pPr>
      <w:bookmarkStart w:id="9" w:name="_Toc17580478"/>
      <w:r>
        <w:rPr>
          <w:rFonts w:hint="eastAsia"/>
          <w:sz w:val="28"/>
          <w:szCs w:val="18"/>
        </w:rPr>
        <w:t xml:space="preserve"> 引擎算法</w:t>
      </w:r>
      <w:bookmarkEnd w:id="9"/>
    </w:p>
    <w:tbl>
      <w:tblPr>
        <w:tblStyle w:val="5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238"/>
        <w:gridCol w:w="5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序号</w:t>
            </w:r>
          </w:p>
        </w:tc>
        <w:tc>
          <w:tcPr>
            <w:tcW w:w="2238" w:type="dxa"/>
            <w:tcBorders>
              <w:left w:val="nil"/>
            </w:tcBorders>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功能名称</w:t>
            </w:r>
          </w:p>
        </w:tc>
        <w:tc>
          <w:tcPr>
            <w:tcW w:w="5566" w:type="dxa"/>
            <w:tcBorders>
              <w:left w:val="nil"/>
            </w:tcBorders>
            <w:vAlign w:val="center"/>
          </w:tcPr>
          <w:p>
            <w:pPr>
              <w:spacing w:line="360" w:lineRule="auto"/>
              <w:jc w:val="center"/>
              <w:rPr>
                <w:rFonts w:ascii="宋体" w:hAnsi="Calibri" w:eastAsia="宋体" w:cs="宋体"/>
                <w:b/>
                <w:sz w:val="24"/>
                <w:szCs w:val="24"/>
              </w:rPr>
            </w:pPr>
            <w:r>
              <w:rPr>
                <w:rFonts w:hint="eastAsia" w:ascii="宋体" w:hAnsi="宋体" w:eastAsia="宋体" w:cs="宋体"/>
                <w:b/>
                <w:bCs/>
                <w:kern w:val="0"/>
                <w:sz w:val="24"/>
                <w:szCs w:val="24"/>
                <w:lang w:val="zh-CN"/>
              </w:rPr>
              <w:t>技术指标参数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17" w:type="dxa"/>
            <w:tcBorders>
              <w:top w:val="nil"/>
            </w:tcBorders>
            <w:vAlign w:val="center"/>
          </w:tcPr>
          <w:p>
            <w:pPr>
              <w:widowControl/>
              <w:spacing w:line="360" w:lineRule="auto"/>
              <w:jc w:val="center"/>
              <w:rPr>
                <w:rFonts w:ascii="宋体" w:hAnsi="宋体" w:eastAsia="宋体" w:cs="宋体"/>
                <w:b/>
                <w:bCs/>
                <w:kern w:val="0"/>
                <w:sz w:val="24"/>
                <w:szCs w:val="24"/>
              </w:rPr>
            </w:pPr>
            <w:r>
              <w:rPr>
                <w:rFonts w:ascii="宋体" w:hAnsi="宋体" w:eastAsia="宋体" w:cs="宋体"/>
                <w:b/>
                <w:bCs/>
                <w:kern w:val="0"/>
                <w:sz w:val="24"/>
                <w:szCs w:val="24"/>
              </w:rPr>
              <w:t>1</w:t>
            </w:r>
          </w:p>
        </w:tc>
        <w:tc>
          <w:tcPr>
            <w:tcW w:w="2238" w:type="dxa"/>
            <w:tcBorders>
              <w:top w:val="nil"/>
              <w:left w:val="nil"/>
            </w:tcBorders>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引擎</w:t>
            </w:r>
          </w:p>
        </w:tc>
        <w:tc>
          <w:tcPr>
            <w:tcW w:w="5566" w:type="dxa"/>
            <w:tcBorders>
              <w:top w:val="nil"/>
              <w:left w:val="nil"/>
            </w:tcBorders>
            <w:vAlign w:val="center"/>
          </w:tcPr>
          <w:p>
            <w:pPr>
              <w:spacing w:line="360" w:lineRule="auto"/>
              <w:rPr>
                <w:rFonts w:ascii="宋体" w:hAnsi="Calibri" w:eastAsia="宋体" w:cs="宋体"/>
                <w:bCs/>
                <w:kern w:val="0"/>
                <w:sz w:val="24"/>
                <w:szCs w:val="24"/>
              </w:rPr>
            </w:pPr>
            <w:r>
              <w:rPr>
                <w:rFonts w:hint="eastAsia" w:ascii="宋体" w:hAnsi="宋体" w:eastAsia="宋体" w:cs="宋体"/>
                <w:bCs/>
                <w:kern w:val="0"/>
                <w:sz w:val="24"/>
                <w:szCs w:val="24"/>
              </w:rPr>
              <w:t>独立自主拥有地图引擎、路径引擎、路算引擎、模糊搜索引擎、定位引擎等核心技术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 w:hRule="atLeast"/>
          <w:jc w:val="center"/>
        </w:trPr>
        <w:tc>
          <w:tcPr>
            <w:tcW w:w="917" w:type="dxa"/>
            <w:tcBorders>
              <w:top w:val="nil"/>
            </w:tcBorders>
            <w:vAlign w:val="center"/>
          </w:tcPr>
          <w:p>
            <w:pPr>
              <w:widowControl/>
              <w:spacing w:line="360" w:lineRule="auto"/>
              <w:jc w:val="center"/>
              <w:rPr>
                <w:rFonts w:ascii="宋体" w:hAnsi="宋体" w:eastAsia="宋体" w:cs="宋体"/>
                <w:b/>
                <w:bCs/>
                <w:kern w:val="0"/>
                <w:sz w:val="24"/>
                <w:szCs w:val="24"/>
              </w:rPr>
            </w:pPr>
            <w:r>
              <w:rPr>
                <w:rFonts w:ascii="宋体" w:hAnsi="宋体" w:eastAsia="宋体" w:cs="宋体"/>
                <w:b/>
                <w:bCs/>
                <w:kern w:val="0"/>
                <w:sz w:val="24"/>
                <w:szCs w:val="24"/>
              </w:rPr>
              <w:t>2</w:t>
            </w:r>
          </w:p>
        </w:tc>
        <w:tc>
          <w:tcPr>
            <w:tcW w:w="2238" w:type="dxa"/>
            <w:tcBorders>
              <w:top w:val="nil"/>
              <w:left w:val="nil"/>
            </w:tcBorders>
            <w:vAlign w:val="center"/>
          </w:tcPr>
          <w:p>
            <w:pPr>
              <w:widowControl/>
              <w:spacing w:line="360" w:lineRule="auto"/>
              <w:jc w:val="center"/>
              <w:rPr>
                <w:rFonts w:ascii="宋体" w:hAnsi="Calibri" w:eastAsia="宋体" w:cs="宋体"/>
                <w:b/>
                <w:bCs/>
                <w:kern w:val="0"/>
                <w:sz w:val="24"/>
                <w:szCs w:val="24"/>
              </w:rPr>
            </w:pPr>
            <w:r>
              <w:rPr>
                <w:rFonts w:hint="eastAsia" w:ascii="宋体" w:hAnsi="宋体" w:eastAsia="宋体" w:cs="宋体"/>
                <w:b/>
                <w:bCs/>
                <w:kern w:val="0"/>
                <w:sz w:val="24"/>
                <w:szCs w:val="24"/>
              </w:rPr>
              <w:t>数据分析</w:t>
            </w:r>
          </w:p>
        </w:tc>
        <w:tc>
          <w:tcPr>
            <w:tcW w:w="5566" w:type="dxa"/>
            <w:tcBorders>
              <w:top w:val="nil"/>
              <w:left w:val="nil"/>
            </w:tcBorders>
            <w:vAlign w:val="center"/>
          </w:tcPr>
          <w:p>
            <w:pPr>
              <w:spacing w:line="360" w:lineRule="auto"/>
              <w:rPr>
                <w:rFonts w:ascii="宋体" w:hAnsi="Calibri" w:eastAsia="宋体" w:cs="宋体"/>
                <w:bCs/>
                <w:kern w:val="0"/>
                <w:sz w:val="24"/>
                <w:szCs w:val="24"/>
              </w:rPr>
            </w:pPr>
            <w:r>
              <w:rPr>
                <w:rFonts w:hint="eastAsia" w:ascii="宋体" w:hAnsi="宋体" w:eastAsia="宋体" w:cs="宋体"/>
                <w:sz w:val="24"/>
                <w:szCs w:val="24"/>
              </w:rPr>
              <w:t>提供导航产品使用次数、服务用户人数、热门搜索科室、路线规划次数等用于大数据分析。</w:t>
            </w:r>
          </w:p>
        </w:tc>
      </w:tr>
    </w:tbl>
    <w:p>
      <w:pPr>
        <w:pStyle w:val="5"/>
        <w:tabs>
          <w:tab w:val="left" w:pos="426"/>
          <w:tab w:val="left" w:pos="993"/>
        </w:tabs>
        <w:rPr>
          <w:sz w:val="28"/>
          <w:szCs w:val="18"/>
          <w:highlight w:val="none"/>
        </w:rPr>
      </w:pPr>
      <w:bookmarkStart w:id="10" w:name="_Toc17580479"/>
      <w:r>
        <w:rPr>
          <w:rFonts w:hint="eastAsia"/>
          <w:sz w:val="28"/>
          <w:szCs w:val="18"/>
          <w:highlight w:val="none"/>
        </w:rPr>
        <w:t xml:space="preserve"> 售后服务</w:t>
      </w:r>
      <w:bookmarkEnd w:id="10"/>
    </w:p>
    <w:tbl>
      <w:tblPr>
        <w:tblStyle w:val="5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173"/>
        <w:gridCol w:w="5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序号</w:t>
            </w:r>
          </w:p>
        </w:tc>
        <w:tc>
          <w:tcPr>
            <w:tcW w:w="2173"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功能名称</w:t>
            </w:r>
          </w:p>
        </w:tc>
        <w:tc>
          <w:tcPr>
            <w:tcW w:w="5567" w:type="dxa"/>
            <w:vAlign w:val="center"/>
          </w:tcPr>
          <w:p>
            <w:pPr>
              <w:spacing w:line="360" w:lineRule="auto"/>
              <w:jc w:val="center"/>
              <w:rPr>
                <w:rFonts w:ascii="宋体" w:hAnsi="Calibri" w:eastAsia="宋体" w:cs="宋体"/>
                <w:b/>
                <w:sz w:val="24"/>
                <w:szCs w:val="24"/>
              </w:rPr>
            </w:pPr>
            <w:r>
              <w:rPr>
                <w:rFonts w:hint="eastAsia" w:ascii="宋体" w:hAnsi="宋体" w:eastAsia="宋体" w:cs="宋体"/>
                <w:b/>
                <w:bCs/>
                <w:kern w:val="0"/>
                <w:sz w:val="24"/>
                <w:szCs w:val="24"/>
                <w:lang w:val="zh-CN"/>
              </w:rPr>
              <w:t>技术指标参数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pPr>
              <w:spacing w:line="360" w:lineRule="auto"/>
              <w:jc w:val="center"/>
              <w:rPr>
                <w:rFonts w:ascii="宋体" w:hAnsi="宋体" w:eastAsia="宋体" w:cs="宋体"/>
                <w:b/>
                <w:sz w:val="24"/>
                <w:szCs w:val="24"/>
              </w:rPr>
            </w:pPr>
            <w:r>
              <w:rPr>
                <w:rFonts w:ascii="宋体" w:hAnsi="宋体" w:eastAsia="宋体" w:cs="宋体"/>
                <w:b/>
                <w:sz w:val="24"/>
                <w:szCs w:val="24"/>
              </w:rPr>
              <w:t>1</w:t>
            </w:r>
          </w:p>
        </w:tc>
        <w:tc>
          <w:tcPr>
            <w:tcW w:w="2173"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现场维护</w:t>
            </w:r>
          </w:p>
        </w:tc>
        <w:tc>
          <w:tcPr>
            <w:tcW w:w="5567" w:type="dxa"/>
            <w:vAlign w:val="center"/>
          </w:tcPr>
          <w:p>
            <w:pPr>
              <w:spacing w:line="360" w:lineRule="auto"/>
              <w:rPr>
                <w:rFonts w:ascii="宋体" w:hAnsi="Calibri" w:eastAsia="宋体" w:cs="宋体"/>
                <w:sz w:val="24"/>
                <w:szCs w:val="24"/>
              </w:rPr>
            </w:pPr>
            <w:r>
              <w:rPr>
                <w:rFonts w:hint="eastAsia" w:ascii="宋体" w:hAnsi="宋体" w:eastAsia="宋体" w:cs="宋体"/>
                <w:sz w:val="24"/>
                <w:szCs w:val="24"/>
              </w:rPr>
              <w:t>产品故障时</w:t>
            </w:r>
            <w:r>
              <w:rPr>
                <w:rFonts w:ascii="宋体" w:hAnsi="宋体" w:eastAsia="宋体" w:cs="宋体"/>
                <w:sz w:val="24"/>
                <w:szCs w:val="24"/>
              </w:rPr>
              <w:t>30</w:t>
            </w:r>
            <w:r>
              <w:rPr>
                <w:rFonts w:hint="eastAsia" w:ascii="宋体" w:hAnsi="宋体" w:eastAsia="宋体" w:cs="宋体"/>
                <w:sz w:val="24"/>
                <w:szCs w:val="24"/>
              </w:rPr>
              <w:t>分钟内电话响应；若无法解决，</w:t>
            </w:r>
            <w:r>
              <w:rPr>
                <w:rFonts w:ascii="宋体" w:hAnsi="宋体" w:eastAsia="宋体" w:cs="宋体"/>
                <w:sz w:val="24"/>
                <w:szCs w:val="24"/>
              </w:rPr>
              <w:t>1</w:t>
            </w:r>
            <w:r>
              <w:rPr>
                <w:rFonts w:hint="eastAsia" w:ascii="宋体" w:hAnsi="宋体" w:eastAsia="宋体" w:cs="宋体"/>
                <w:sz w:val="24"/>
                <w:szCs w:val="24"/>
              </w:rPr>
              <w:t>小时内远程网络故障排查，若无法解决，</w:t>
            </w:r>
            <w:r>
              <w:rPr>
                <w:rFonts w:ascii="宋体" w:hAnsi="宋体" w:eastAsia="宋体" w:cs="宋体"/>
                <w:sz w:val="24"/>
                <w:szCs w:val="24"/>
              </w:rPr>
              <w:t>24</w:t>
            </w:r>
            <w:r>
              <w:rPr>
                <w:rFonts w:hint="eastAsia" w:ascii="宋体" w:hAnsi="宋体" w:eastAsia="宋体" w:cs="宋体"/>
                <w:sz w:val="24"/>
                <w:szCs w:val="24"/>
              </w:rPr>
              <w:t>小时内到达客户现场维护，保证</w:t>
            </w:r>
            <w:r>
              <w:rPr>
                <w:rFonts w:ascii="宋体" w:hAnsi="宋体" w:eastAsia="宋体" w:cs="宋体"/>
                <w:sz w:val="24"/>
                <w:szCs w:val="24"/>
              </w:rPr>
              <w:t>7*24</w:t>
            </w:r>
            <w:r>
              <w:rPr>
                <w:rFonts w:hint="eastAsia" w:ascii="宋体" w:hAnsi="宋体" w:eastAsia="宋体" w:cs="宋体"/>
                <w:sz w:val="24"/>
                <w:szCs w:val="24"/>
              </w:rPr>
              <w:t>小时的响应支持。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pPr>
              <w:spacing w:line="360" w:lineRule="auto"/>
              <w:jc w:val="center"/>
              <w:rPr>
                <w:rFonts w:ascii="宋体" w:hAnsi="宋体" w:eastAsia="宋体" w:cs="宋体"/>
                <w:b/>
                <w:sz w:val="24"/>
                <w:szCs w:val="24"/>
              </w:rPr>
            </w:pPr>
            <w:r>
              <w:rPr>
                <w:rFonts w:ascii="宋体" w:hAnsi="宋体" w:eastAsia="宋体" w:cs="宋体"/>
                <w:b/>
                <w:sz w:val="24"/>
                <w:szCs w:val="24"/>
              </w:rPr>
              <w:t>2</w:t>
            </w:r>
          </w:p>
        </w:tc>
        <w:tc>
          <w:tcPr>
            <w:tcW w:w="2173"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升级服务</w:t>
            </w:r>
          </w:p>
        </w:tc>
        <w:tc>
          <w:tcPr>
            <w:tcW w:w="5567" w:type="dxa"/>
            <w:vAlign w:val="center"/>
          </w:tcPr>
          <w:p>
            <w:pPr>
              <w:spacing w:line="360" w:lineRule="auto"/>
              <w:rPr>
                <w:rFonts w:ascii="宋体" w:hAnsi="Calibri" w:eastAsia="宋体" w:cs="宋体"/>
                <w:sz w:val="24"/>
                <w:szCs w:val="24"/>
              </w:rPr>
            </w:pPr>
            <w:r>
              <w:rPr>
                <w:rFonts w:hint="eastAsia" w:ascii="宋体" w:hAnsi="宋体" w:eastAsia="宋体" w:cs="宋体"/>
                <w:sz w:val="24"/>
                <w:szCs w:val="24"/>
              </w:rPr>
              <w:t>提供应用软件系统升级方面的技术支持服务。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 w:type="dxa"/>
            <w:vAlign w:val="center"/>
          </w:tcPr>
          <w:p>
            <w:pPr>
              <w:spacing w:line="360" w:lineRule="auto"/>
              <w:jc w:val="center"/>
              <w:rPr>
                <w:rFonts w:ascii="宋体" w:hAnsi="Calibri" w:eastAsia="宋体" w:cs="宋体"/>
                <w:b/>
                <w:sz w:val="24"/>
                <w:szCs w:val="24"/>
              </w:rPr>
            </w:pPr>
            <w:r>
              <w:rPr>
                <w:rFonts w:ascii="宋体" w:hAnsi="宋体" w:eastAsia="宋体" w:cs="宋体"/>
                <w:b/>
                <w:sz w:val="24"/>
                <w:szCs w:val="24"/>
              </w:rPr>
              <w:t>3</w:t>
            </w:r>
          </w:p>
        </w:tc>
        <w:tc>
          <w:tcPr>
            <w:tcW w:w="2173"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免费维护</w:t>
            </w:r>
          </w:p>
        </w:tc>
        <w:tc>
          <w:tcPr>
            <w:tcW w:w="5567" w:type="dxa"/>
            <w:vAlign w:val="center"/>
          </w:tcPr>
          <w:p>
            <w:pPr>
              <w:spacing w:line="360" w:lineRule="auto"/>
              <w:rPr>
                <w:rFonts w:ascii="宋体" w:hAnsi="Calibri" w:eastAsia="宋体" w:cs="宋体"/>
                <w:sz w:val="24"/>
                <w:szCs w:val="24"/>
              </w:rPr>
            </w:pPr>
            <w:r>
              <w:rPr>
                <w:rFonts w:hint="eastAsia" w:ascii="宋体" w:hAnsi="宋体" w:eastAsia="宋体" w:cs="宋体"/>
                <w:sz w:val="24"/>
                <w:szCs w:val="24"/>
              </w:rPr>
              <w:t>提供三年内软件的免费维护和升级服务。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4</w:t>
            </w:r>
          </w:p>
        </w:tc>
        <w:tc>
          <w:tcPr>
            <w:tcW w:w="2173" w:type="dxa"/>
            <w:vAlign w:val="center"/>
          </w:tcPr>
          <w:p>
            <w:pPr>
              <w:spacing w:line="360" w:lineRule="auto"/>
              <w:jc w:val="center"/>
              <w:rPr>
                <w:rFonts w:ascii="宋体" w:hAnsi="Calibri" w:eastAsia="宋体" w:cs="宋体"/>
                <w:b/>
                <w:sz w:val="24"/>
                <w:szCs w:val="24"/>
              </w:rPr>
            </w:pPr>
            <w:r>
              <w:rPr>
                <w:rFonts w:hint="eastAsia" w:ascii="宋体" w:hAnsi="宋体" w:eastAsia="宋体" w:cs="宋体"/>
                <w:b/>
                <w:sz w:val="24"/>
                <w:szCs w:val="24"/>
              </w:rPr>
              <w:t>跟踪巡检</w:t>
            </w:r>
          </w:p>
        </w:tc>
        <w:tc>
          <w:tcPr>
            <w:tcW w:w="5567" w:type="dxa"/>
            <w:vAlign w:val="center"/>
          </w:tcPr>
          <w:p>
            <w:pPr>
              <w:spacing w:line="360" w:lineRule="auto"/>
              <w:rPr>
                <w:rFonts w:ascii="宋体" w:hAnsi="Calibri" w:eastAsia="宋体" w:cs="宋体"/>
                <w:sz w:val="24"/>
                <w:szCs w:val="24"/>
              </w:rPr>
            </w:pPr>
            <w:r>
              <w:rPr>
                <w:rFonts w:ascii="宋体" w:hAnsi="宋体" w:eastAsia="宋体" w:cs="宋体"/>
                <w:sz w:val="24"/>
                <w:szCs w:val="24"/>
              </w:rPr>
              <w:t>一</w:t>
            </w:r>
            <w:r>
              <w:rPr>
                <w:rFonts w:hint="eastAsia" w:ascii="宋体" w:hAnsi="宋体" w:eastAsia="宋体" w:cs="宋体"/>
                <w:sz w:val="24"/>
                <w:szCs w:val="24"/>
              </w:rPr>
              <w:t>年内不得少于三次巡检，加强维护软硬件系统，消除安全隐患。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5.</w:t>
            </w:r>
          </w:p>
        </w:tc>
        <w:tc>
          <w:tcPr>
            <w:tcW w:w="2173"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系统对接</w:t>
            </w:r>
          </w:p>
        </w:tc>
        <w:tc>
          <w:tcPr>
            <w:tcW w:w="5567"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维保期内，甲方要求的与医院相关信息系统对接时如需研发改造，只收取合理人工费用。</w:t>
            </w:r>
          </w:p>
        </w:tc>
      </w:tr>
    </w:tbl>
    <w:p>
      <w:pPr>
        <w:ind w:firstLine="420" w:firstLineChars="200"/>
      </w:pPr>
    </w:p>
    <w:p>
      <w:pPr>
        <w:pStyle w:val="4"/>
        <w:ind w:left="0" w:leftChars="0" w:firstLine="0" w:firstLineChars="0"/>
        <w:jc w:val="both"/>
        <w:rPr>
          <w:sz w:val="32"/>
          <w:szCs w:val="32"/>
        </w:rPr>
      </w:pPr>
      <w:bookmarkStart w:id="11" w:name="_Toc529730217"/>
      <w:bookmarkStart w:id="12" w:name="_Toc386533311"/>
      <w:bookmarkStart w:id="13" w:name="_Toc169920603"/>
      <w:bookmarkStart w:id="14" w:name="_Toc172012197"/>
      <w:bookmarkStart w:id="15" w:name="_Toc169689705"/>
      <w:bookmarkStart w:id="16" w:name="_Toc225840739"/>
      <w:r>
        <w:rPr>
          <w:rFonts w:hint="eastAsia"/>
          <w:sz w:val="28"/>
          <w:szCs w:val="28"/>
          <w:lang w:val="en-US" w:eastAsia="zh-CN"/>
        </w:rPr>
        <w:t>五、</w:t>
      </w:r>
      <w:r>
        <w:rPr>
          <w:rFonts w:hint="eastAsia"/>
          <w:sz w:val="28"/>
          <w:szCs w:val="28"/>
        </w:rPr>
        <w:t>项</w:t>
      </w:r>
      <w:r>
        <w:rPr>
          <w:sz w:val="28"/>
          <w:szCs w:val="28"/>
        </w:rPr>
        <w:t>目</w:t>
      </w:r>
      <w:r>
        <w:rPr>
          <w:rFonts w:hint="eastAsia"/>
          <w:sz w:val="28"/>
          <w:szCs w:val="28"/>
        </w:rPr>
        <w:t>实施要求</w:t>
      </w:r>
      <w:bookmarkEnd w:id="11"/>
      <w:bookmarkEnd w:id="12"/>
      <w:bookmarkEnd w:id="13"/>
      <w:bookmarkEnd w:id="14"/>
      <w:bookmarkEnd w:id="15"/>
      <w:bookmarkEnd w:id="16"/>
    </w:p>
    <w:p>
      <w:pPr>
        <w:pStyle w:val="92"/>
        <w:numPr>
          <w:ilvl w:val="0"/>
          <w:numId w:val="15"/>
        </w:numPr>
        <w:spacing w:line="360" w:lineRule="auto"/>
        <w:ind w:left="0" w:firstLine="424" w:firstLineChars="177"/>
        <w:rPr>
          <w:rFonts w:ascii="宋体" w:hAnsi="宋体" w:eastAsia="宋体"/>
          <w:sz w:val="24"/>
        </w:rPr>
      </w:pPr>
      <w:r>
        <w:rPr>
          <w:rFonts w:hint="eastAsia" w:ascii="宋体" w:hAnsi="宋体" w:eastAsia="宋体"/>
          <w:sz w:val="24"/>
        </w:rPr>
        <w:t>整体项目要求在系统启动后60天完成面积测量、应用调研、系统部署、接口对接、应用培训、试运行上线、全面推广等工作。</w:t>
      </w:r>
    </w:p>
    <w:p>
      <w:pPr>
        <w:pStyle w:val="92"/>
        <w:numPr>
          <w:ilvl w:val="0"/>
          <w:numId w:val="15"/>
        </w:numPr>
        <w:spacing w:line="360" w:lineRule="auto"/>
        <w:ind w:left="0" w:firstLine="424" w:firstLineChars="177"/>
        <w:rPr>
          <w:rFonts w:ascii="宋体" w:hAnsi="宋体"/>
          <w:sz w:val="24"/>
          <w:szCs w:val="24"/>
        </w:rPr>
      </w:pPr>
      <w:r>
        <w:rPr>
          <w:rFonts w:hint="eastAsia" w:ascii="宋体" w:hAnsi="宋体"/>
          <w:sz w:val="24"/>
          <w:szCs w:val="24"/>
        </w:rPr>
        <w:t>供应商结合用户实际情况，拟定详细的系统实施计划，含客户化修改、测试、试运行、培训及上线计划。承诺保证在合同规定时间内上线及上线系统的基本平稳。供应商应派遣有经验的技术人员组成的工作小组到现场实施技术服务，包括软件安装、测试等技术服务、培训服务。</w:t>
      </w:r>
    </w:p>
    <w:p>
      <w:pPr>
        <w:pStyle w:val="92"/>
        <w:numPr>
          <w:ilvl w:val="0"/>
          <w:numId w:val="15"/>
        </w:numPr>
        <w:spacing w:line="360" w:lineRule="auto"/>
        <w:ind w:left="0" w:firstLine="424" w:firstLineChars="177"/>
        <w:rPr>
          <w:rFonts w:ascii="宋体" w:hAnsi="宋体"/>
          <w:sz w:val="24"/>
          <w:szCs w:val="24"/>
        </w:rPr>
      </w:pPr>
      <w:r>
        <w:rPr>
          <w:rFonts w:hint="eastAsia" w:ascii="宋体" w:hAnsi="宋体"/>
          <w:sz w:val="24"/>
          <w:szCs w:val="24"/>
        </w:rPr>
        <w:t>供应商在系统安装之前，应先进行培训，开始安装时，须让有关人员参与安装、检测和排除故障。系统必须在系统管理人员的监督下，在用户指定的环境中进行测试后才能进行用户现场安装；</w:t>
      </w:r>
    </w:p>
    <w:p>
      <w:pPr>
        <w:pStyle w:val="92"/>
        <w:numPr>
          <w:ilvl w:val="0"/>
          <w:numId w:val="15"/>
        </w:numPr>
        <w:spacing w:line="360" w:lineRule="auto"/>
        <w:ind w:left="0" w:firstLine="424" w:firstLineChars="177"/>
        <w:rPr>
          <w:rFonts w:ascii="宋体" w:hAnsi="宋体"/>
          <w:sz w:val="24"/>
          <w:szCs w:val="24"/>
        </w:rPr>
      </w:pPr>
      <w:r>
        <w:rPr>
          <w:rFonts w:hint="eastAsia" w:ascii="宋体" w:hAnsi="宋体"/>
          <w:sz w:val="24"/>
          <w:szCs w:val="24"/>
        </w:rPr>
        <w:t xml:space="preserve">调试工作完成后，供应商应提供咨询与技术支持工作，及时将其所发现并掌握的软件的操作、故障检测、故障排除方法通知，并支持对软件进行升级服务。 </w:t>
      </w:r>
      <w:r>
        <w:rPr>
          <w:rFonts w:ascii="宋体" w:hAnsi="宋体"/>
          <w:sz w:val="24"/>
          <w:szCs w:val="24"/>
        </w:rPr>
        <w:t xml:space="preserve">  </w:t>
      </w:r>
    </w:p>
    <w:p>
      <w:pPr>
        <w:pStyle w:val="92"/>
        <w:numPr>
          <w:ilvl w:val="0"/>
          <w:numId w:val="15"/>
        </w:numPr>
        <w:spacing w:line="360" w:lineRule="auto"/>
        <w:ind w:left="0" w:firstLine="424" w:firstLineChars="177"/>
        <w:rPr>
          <w:rFonts w:ascii="宋体" w:hAnsi="宋体"/>
          <w:sz w:val="24"/>
          <w:szCs w:val="24"/>
        </w:rPr>
      </w:pPr>
      <w:r>
        <w:rPr>
          <w:rFonts w:hint="eastAsia" w:ascii="宋体" w:hAnsi="宋体"/>
          <w:sz w:val="24"/>
          <w:szCs w:val="24"/>
        </w:rPr>
        <w:t>供应商必须承诺能按照本次项目实施要求，按时、按质完成实施工作，完成项目验收工作，并提供按用户要求对所实施的软件进行适应性修改。</w:t>
      </w:r>
    </w:p>
    <w:p>
      <w:pPr>
        <w:pStyle w:val="4"/>
        <w:ind w:left="0" w:leftChars="0" w:firstLine="0" w:firstLineChars="0"/>
        <w:jc w:val="both"/>
        <w:rPr>
          <w:sz w:val="28"/>
          <w:szCs w:val="28"/>
        </w:rPr>
      </w:pPr>
      <w:bookmarkStart w:id="17" w:name="_Toc529730223"/>
      <w:bookmarkStart w:id="18" w:name="_Toc386533380"/>
      <w:r>
        <w:rPr>
          <w:rFonts w:hint="eastAsia"/>
          <w:sz w:val="28"/>
          <w:szCs w:val="28"/>
          <w:lang w:val="en-US" w:eastAsia="zh-CN"/>
        </w:rPr>
        <w:t>六、</w:t>
      </w:r>
      <w:r>
        <w:rPr>
          <w:rFonts w:hint="eastAsia"/>
          <w:sz w:val="28"/>
          <w:szCs w:val="28"/>
        </w:rPr>
        <w:t>项目培训要求</w:t>
      </w:r>
    </w:p>
    <w:p>
      <w:pPr>
        <w:pStyle w:val="92"/>
        <w:numPr>
          <w:ilvl w:val="0"/>
          <w:numId w:val="16"/>
        </w:numPr>
        <w:spacing w:line="360" w:lineRule="auto"/>
        <w:ind w:left="0" w:firstLine="424" w:firstLineChars="177"/>
        <w:rPr>
          <w:rFonts w:ascii="宋体" w:hAnsi="宋体" w:eastAsia="宋体"/>
          <w:sz w:val="24"/>
        </w:rPr>
      </w:pPr>
      <w:r>
        <w:rPr>
          <w:rFonts w:hint="eastAsia" w:ascii="宋体" w:hAnsi="宋体"/>
          <w:sz w:val="24"/>
          <w:lang w:eastAsia="zh-CN"/>
        </w:rPr>
        <w:t>响应人</w:t>
      </w:r>
      <w:r>
        <w:rPr>
          <w:rFonts w:hint="eastAsia" w:ascii="宋体" w:hAnsi="宋体" w:eastAsia="宋体"/>
          <w:sz w:val="24"/>
        </w:rPr>
        <w:t>须提出详细的项目培训计划，对采购人所有的培训对象进行总体培训，提供不同模式的培训，并且所有的培训费用必须计入投标总价，采购人不再另行支付费用。</w:t>
      </w:r>
    </w:p>
    <w:p>
      <w:pPr>
        <w:pStyle w:val="92"/>
        <w:numPr>
          <w:ilvl w:val="0"/>
          <w:numId w:val="16"/>
        </w:numPr>
        <w:spacing w:line="360" w:lineRule="auto"/>
        <w:ind w:left="0" w:firstLine="424" w:firstLineChars="177"/>
        <w:rPr>
          <w:rFonts w:ascii="宋体" w:hAnsi="宋体" w:eastAsia="宋体"/>
          <w:sz w:val="24"/>
        </w:rPr>
      </w:pPr>
      <w:r>
        <w:rPr>
          <w:rFonts w:hint="eastAsia" w:ascii="宋体" w:hAnsi="宋体" w:eastAsia="宋体"/>
          <w:sz w:val="24"/>
        </w:rPr>
        <w:t>培训任务由</w:t>
      </w:r>
      <w:r>
        <w:rPr>
          <w:rFonts w:hint="eastAsia" w:ascii="宋体" w:hAnsi="宋体"/>
          <w:sz w:val="24"/>
          <w:lang w:eastAsia="zh-CN"/>
        </w:rPr>
        <w:t>响应人</w:t>
      </w:r>
      <w:r>
        <w:rPr>
          <w:rFonts w:hint="eastAsia" w:ascii="宋体" w:hAnsi="宋体" w:eastAsia="宋体"/>
          <w:sz w:val="24"/>
        </w:rPr>
        <w:t>安排培训教师来完成，个别对专业技术要求较高的子系统，应由</w:t>
      </w:r>
      <w:r>
        <w:rPr>
          <w:rFonts w:hint="eastAsia" w:ascii="宋体" w:hAnsi="宋体"/>
          <w:sz w:val="24"/>
          <w:lang w:eastAsia="zh-CN"/>
        </w:rPr>
        <w:t>响应人</w:t>
      </w:r>
      <w:r>
        <w:rPr>
          <w:rFonts w:hint="eastAsia" w:ascii="宋体" w:hAnsi="宋体" w:eastAsia="宋体"/>
          <w:sz w:val="24"/>
        </w:rPr>
        <w:t>负责安排原厂商培训教师上门培训，以确保培训质量。</w:t>
      </w:r>
    </w:p>
    <w:p>
      <w:pPr>
        <w:pStyle w:val="92"/>
        <w:numPr>
          <w:ilvl w:val="0"/>
          <w:numId w:val="16"/>
        </w:numPr>
        <w:spacing w:line="360" w:lineRule="auto"/>
        <w:ind w:left="0" w:firstLine="424" w:firstLineChars="177"/>
        <w:rPr>
          <w:rFonts w:ascii="宋体" w:hAnsi="宋体" w:eastAsia="宋体"/>
          <w:sz w:val="24"/>
        </w:rPr>
      </w:pPr>
      <w:r>
        <w:rPr>
          <w:rFonts w:hint="eastAsia" w:ascii="宋体" w:hAnsi="宋体"/>
          <w:sz w:val="24"/>
          <w:lang w:eastAsia="zh-CN"/>
        </w:rPr>
        <w:t>响应人</w:t>
      </w:r>
      <w:r>
        <w:rPr>
          <w:rFonts w:hint="eastAsia" w:ascii="宋体" w:hAnsi="宋体" w:eastAsia="宋体"/>
          <w:sz w:val="24"/>
        </w:rPr>
        <w:t>提供的培训教材等资料应经过项目各方评审认可，以确保培训质量。</w:t>
      </w:r>
    </w:p>
    <w:p>
      <w:pPr>
        <w:pStyle w:val="92"/>
        <w:numPr>
          <w:ilvl w:val="0"/>
          <w:numId w:val="16"/>
        </w:numPr>
        <w:spacing w:line="360" w:lineRule="auto"/>
        <w:ind w:left="0" w:firstLine="424" w:firstLineChars="177"/>
        <w:rPr>
          <w:rFonts w:ascii="宋体" w:hAnsi="宋体" w:eastAsia="宋体"/>
          <w:sz w:val="24"/>
        </w:rPr>
      </w:pPr>
      <w:r>
        <w:rPr>
          <w:rFonts w:hint="eastAsia" w:ascii="宋体" w:hAnsi="宋体"/>
          <w:sz w:val="24"/>
          <w:lang w:eastAsia="zh-CN"/>
        </w:rPr>
        <w:t>响应人</w:t>
      </w:r>
      <w:r>
        <w:rPr>
          <w:rFonts w:hint="eastAsia" w:ascii="宋体" w:hAnsi="宋体" w:eastAsia="宋体"/>
          <w:sz w:val="24"/>
        </w:rPr>
        <w:t>提供多种培训方式，包括集中培训、培训视频文件或多媒体课件，以及线上培训学习或下载后离线自学。</w:t>
      </w:r>
    </w:p>
    <w:p>
      <w:pPr>
        <w:widowControl/>
        <w:jc w:val="left"/>
        <w:rPr>
          <w:b/>
          <w:bCs/>
          <w:sz w:val="28"/>
          <w:szCs w:val="28"/>
          <w:shd w:val="clear" w:color="auto" w:fill="auto"/>
        </w:rPr>
      </w:pPr>
      <w:r>
        <w:rPr>
          <w:rFonts w:hint="eastAsia"/>
          <w:b/>
          <w:bCs/>
          <w:sz w:val="28"/>
          <w:szCs w:val="28"/>
          <w:shd w:val="clear" w:color="auto" w:fill="auto"/>
          <w:lang w:val="en-US" w:eastAsia="zh-CN"/>
        </w:rPr>
        <w:t>七、</w:t>
      </w:r>
      <w:r>
        <w:rPr>
          <w:rFonts w:hint="eastAsia"/>
          <w:b/>
          <w:bCs/>
          <w:sz w:val="28"/>
          <w:szCs w:val="28"/>
          <w:shd w:val="clear" w:color="auto" w:fill="auto"/>
        </w:rPr>
        <w:t>项目验收要求</w:t>
      </w:r>
    </w:p>
    <w:p>
      <w:pPr>
        <w:pStyle w:val="120"/>
        <w:numPr>
          <w:ilvl w:val="0"/>
          <w:numId w:val="17"/>
        </w:numPr>
        <w:adjustRightInd w:val="0"/>
        <w:snapToGrid w:val="0"/>
        <w:spacing w:line="360" w:lineRule="auto"/>
        <w:ind w:left="0" w:firstLine="424" w:firstLineChars="177"/>
        <w:jc w:val="left"/>
        <w:rPr>
          <w:rFonts w:asciiTheme="minorEastAsia" w:hAnsiTheme="minorEastAsia" w:eastAsiaTheme="minorEastAsia"/>
          <w:sz w:val="24"/>
          <w:szCs w:val="21"/>
        </w:rPr>
      </w:pPr>
      <w:r>
        <w:rPr>
          <w:rFonts w:hint="eastAsia" w:asciiTheme="minorEastAsia" w:hAnsiTheme="minorEastAsia" w:eastAsiaTheme="minorEastAsia"/>
          <w:sz w:val="24"/>
          <w:szCs w:val="21"/>
          <w:lang w:eastAsia="zh-CN"/>
        </w:rPr>
        <w:t>响应人</w:t>
      </w:r>
      <w:r>
        <w:rPr>
          <w:rFonts w:hint="eastAsia" w:asciiTheme="minorEastAsia" w:hAnsiTheme="minorEastAsia" w:eastAsiaTheme="minorEastAsia"/>
          <w:sz w:val="24"/>
          <w:szCs w:val="21"/>
        </w:rPr>
        <w:t>按照</w:t>
      </w:r>
      <w:r>
        <w:rPr>
          <w:rFonts w:hint="eastAsia" w:asciiTheme="minorEastAsia" w:hAnsiTheme="minorEastAsia" w:eastAsiaTheme="minorEastAsia"/>
          <w:sz w:val="24"/>
          <w:szCs w:val="21"/>
          <w:lang w:val="en-US" w:eastAsia="zh-CN"/>
        </w:rPr>
        <w:t>本项目</w:t>
      </w:r>
      <w:r>
        <w:rPr>
          <w:rFonts w:hint="eastAsia" w:asciiTheme="minorEastAsia" w:hAnsiTheme="minorEastAsia" w:eastAsiaTheme="minorEastAsia"/>
          <w:sz w:val="24"/>
          <w:szCs w:val="21"/>
        </w:rPr>
        <w:t>《</w:t>
      </w:r>
      <w:r>
        <w:rPr>
          <w:rFonts w:hint="eastAsia" w:asciiTheme="minorEastAsia" w:hAnsiTheme="minorEastAsia" w:eastAsiaTheme="minorEastAsia"/>
          <w:sz w:val="24"/>
          <w:szCs w:val="21"/>
          <w:lang w:eastAsia="zh-CN"/>
        </w:rPr>
        <w:t>竞争性磋商文件</w:t>
      </w:r>
      <w:r>
        <w:rPr>
          <w:rFonts w:hint="eastAsia" w:asciiTheme="minorEastAsia" w:hAnsiTheme="minorEastAsia" w:eastAsiaTheme="minorEastAsia"/>
          <w:sz w:val="24"/>
          <w:szCs w:val="21"/>
        </w:rPr>
        <w:t>》作为项目验收标准，系统完成所有功能上线后通知甲方验收，甲方应在三个工作日内，以</w:t>
      </w:r>
      <w:r>
        <w:rPr>
          <w:rFonts w:hint="eastAsia" w:asciiTheme="minorEastAsia" w:hAnsiTheme="minorEastAsia" w:eastAsiaTheme="minorEastAsia"/>
          <w:sz w:val="24"/>
          <w:szCs w:val="21"/>
          <w:lang w:val="en-US" w:eastAsia="zh-CN"/>
        </w:rPr>
        <w:t>本项目</w:t>
      </w:r>
      <w:r>
        <w:rPr>
          <w:rFonts w:hint="eastAsia" w:asciiTheme="minorEastAsia" w:hAnsiTheme="minorEastAsia" w:eastAsiaTheme="minorEastAsia"/>
          <w:sz w:val="24"/>
          <w:szCs w:val="21"/>
        </w:rPr>
        <w:t>《</w:t>
      </w:r>
      <w:r>
        <w:rPr>
          <w:rFonts w:hint="eastAsia" w:asciiTheme="minorEastAsia" w:hAnsiTheme="minorEastAsia" w:eastAsiaTheme="minorEastAsia"/>
          <w:sz w:val="24"/>
          <w:szCs w:val="21"/>
          <w:lang w:eastAsia="zh-CN"/>
        </w:rPr>
        <w:t>竞争性磋商文件</w:t>
      </w:r>
      <w:r>
        <w:rPr>
          <w:rFonts w:hint="eastAsia" w:asciiTheme="minorEastAsia" w:hAnsiTheme="minorEastAsia" w:eastAsiaTheme="minorEastAsia"/>
          <w:sz w:val="24"/>
          <w:szCs w:val="21"/>
        </w:rPr>
        <w:t>》作为项目验收标准进行验收。</w:t>
      </w:r>
    </w:p>
    <w:p>
      <w:pPr>
        <w:pStyle w:val="120"/>
        <w:numPr>
          <w:ilvl w:val="0"/>
          <w:numId w:val="17"/>
        </w:numPr>
        <w:adjustRightInd w:val="0"/>
        <w:snapToGrid w:val="0"/>
        <w:spacing w:line="360" w:lineRule="auto"/>
        <w:ind w:left="0" w:firstLine="424" w:firstLineChars="177"/>
        <w:jc w:val="left"/>
        <w:rPr>
          <w:rFonts w:asciiTheme="minorEastAsia" w:hAnsiTheme="minorEastAsia" w:eastAsiaTheme="minorEastAsia"/>
          <w:sz w:val="24"/>
          <w:szCs w:val="21"/>
        </w:rPr>
      </w:pPr>
      <w:r>
        <w:rPr>
          <w:rFonts w:hint="eastAsia" w:asciiTheme="minorEastAsia" w:hAnsiTheme="minorEastAsia" w:eastAsiaTheme="minorEastAsia"/>
          <w:sz w:val="24"/>
          <w:szCs w:val="21"/>
        </w:rPr>
        <w:t>交货前应对产品作出全面检查和对验收文件进行整理并列出清单，作为医院收货验收和使用的技术条件依据，检验的结果应随货物交院方。要求</w:t>
      </w:r>
      <w:r>
        <w:rPr>
          <w:rFonts w:hint="eastAsia" w:asciiTheme="minorEastAsia" w:hAnsiTheme="minorEastAsia" w:eastAsiaTheme="minorEastAsia"/>
          <w:sz w:val="24"/>
          <w:szCs w:val="21"/>
          <w:lang w:eastAsia="zh-CN"/>
        </w:rPr>
        <w:t>响应人</w:t>
      </w:r>
      <w:r>
        <w:rPr>
          <w:rFonts w:hint="eastAsia" w:asciiTheme="minorEastAsia" w:hAnsiTheme="minorEastAsia" w:eastAsiaTheme="minorEastAsia"/>
          <w:sz w:val="24"/>
          <w:szCs w:val="21"/>
        </w:rPr>
        <w:t>按照本项目的成果验收要求提交验收成果。</w:t>
      </w:r>
    </w:p>
    <w:p>
      <w:pPr>
        <w:adjustRightInd w:val="0"/>
        <w:snapToGrid w:val="0"/>
        <w:spacing w:line="360" w:lineRule="auto"/>
        <w:ind w:firstLine="424" w:firstLineChars="177"/>
        <w:jc w:val="left"/>
        <w:rPr>
          <w:rFonts w:asciiTheme="minorEastAsia" w:hAnsiTheme="minorEastAsia"/>
          <w:sz w:val="24"/>
          <w:szCs w:val="21"/>
        </w:rPr>
      </w:pPr>
      <w:r>
        <w:rPr>
          <w:rFonts w:hint="eastAsia" w:asciiTheme="minorEastAsia" w:hAnsiTheme="minorEastAsia"/>
          <w:sz w:val="24"/>
          <w:szCs w:val="21"/>
        </w:rPr>
        <w:t>（1）成果验收要求</w:t>
      </w:r>
    </w:p>
    <w:p>
      <w:pPr>
        <w:pStyle w:val="65"/>
        <w:numPr>
          <w:ilvl w:val="0"/>
          <w:numId w:val="18"/>
        </w:numPr>
        <w:adjustRightInd w:val="0"/>
        <w:snapToGrid w:val="0"/>
        <w:spacing w:line="360" w:lineRule="auto"/>
        <w:ind w:left="0" w:firstLine="424" w:firstLineChars="177"/>
        <w:jc w:val="left"/>
        <w:textAlignment w:val="baseline"/>
        <w:rPr>
          <w:rFonts w:asciiTheme="minorEastAsia" w:hAnsiTheme="minorEastAsia"/>
          <w:sz w:val="24"/>
        </w:rPr>
      </w:pPr>
      <w:r>
        <w:rPr>
          <w:rFonts w:hint="eastAsia" w:asciiTheme="minorEastAsia" w:hAnsiTheme="minorEastAsia"/>
          <w:sz w:val="24"/>
        </w:rPr>
        <w:t>成果内容能满足合同的要求，并具有良好的安全性、可靠性、实用性、稳定性、先进性及可拓展性；</w:t>
      </w:r>
    </w:p>
    <w:p>
      <w:pPr>
        <w:pStyle w:val="65"/>
        <w:numPr>
          <w:ilvl w:val="0"/>
          <w:numId w:val="18"/>
        </w:numPr>
        <w:adjustRightInd w:val="0"/>
        <w:snapToGrid w:val="0"/>
        <w:spacing w:line="360" w:lineRule="auto"/>
        <w:ind w:left="0" w:firstLine="424" w:firstLineChars="177"/>
        <w:jc w:val="left"/>
        <w:textAlignment w:val="baseline"/>
        <w:rPr>
          <w:rFonts w:asciiTheme="minorEastAsia" w:hAnsiTheme="minorEastAsia"/>
          <w:sz w:val="24"/>
        </w:rPr>
      </w:pPr>
      <w:r>
        <w:rPr>
          <w:rFonts w:hint="eastAsia" w:asciiTheme="minorEastAsia" w:hAnsiTheme="minorEastAsia"/>
          <w:sz w:val="24"/>
        </w:rPr>
        <w:t>成果内容应符合项目</w:t>
      </w:r>
      <w:r>
        <w:rPr>
          <w:rFonts w:hint="eastAsia" w:asciiTheme="minorEastAsia" w:hAnsiTheme="minorEastAsia"/>
          <w:sz w:val="24"/>
          <w:lang w:eastAsia="zh-CN"/>
        </w:rPr>
        <w:t>竞争性磋商文件</w:t>
      </w:r>
      <w:r>
        <w:rPr>
          <w:rFonts w:hint="eastAsia" w:asciiTheme="minorEastAsia" w:hAnsiTheme="minorEastAsia"/>
          <w:sz w:val="24"/>
        </w:rPr>
        <w:t>的要求。</w:t>
      </w:r>
    </w:p>
    <w:p>
      <w:pPr>
        <w:adjustRightInd w:val="0"/>
        <w:snapToGrid w:val="0"/>
        <w:spacing w:line="360" w:lineRule="auto"/>
        <w:ind w:firstLine="424" w:firstLineChars="177"/>
        <w:jc w:val="left"/>
        <w:rPr>
          <w:rFonts w:asciiTheme="minorEastAsia" w:hAnsiTheme="minorEastAsia"/>
          <w:sz w:val="24"/>
          <w:szCs w:val="21"/>
        </w:rPr>
      </w:pPr>
      <w:r>
        <w:rPr>
          <w:rFonts w:hint="eastAsia" w:asciiTheme="minorEastAsia" w:hAnsiTheme="minorEastAsia"/>
          <w:sz w:val="24"/>
          <w:szCs w:val="21"/>
        </w:rPr>
        <w:t>（2）成果提交形式</w:t>
      </w:r>
    </w:p>
    <w:p>
      <w:pPr>
        <w:adjustRightInd w:val="0"/>
        <w:snapToGrid w:val="0"/>
        <w:spacing w:line="360" w:lineRule="auto"/>
        <w:ind w:firstLine="424" w:firstLineChars="177"/>
        <w:jc w:val="left"/>
        <w:rPr>
          <w:rFonts w:asciiTheme="minorEastAsia" w:hAnsiTheme="minorEastAsia"/>
          <w:sz w:val="24"/>
          <w:szCs w:val="21"/>
        </w:rPr>
      </w:pPr>
      <w:r>
        <w:rPr>
          <w:rFonts w:hint="eastAsia" w:asciiTheme="minorEastAsia" w:hAnsiTheme="minorEastAsia"/>
          <w:sz w:val="24"/>
          <w:szCs w:val="21"/>
        </w:rPr>
        <w:t>提交验收相关资料，包括但不限于以下几部分：</w:t>
      </w:r>
    </w:p>
    <w:p>
      <w:pPr>
        <w:pStyle w:val="65"/>
        <w:numPr>
          <w:ilvl w:val="0"/>
          <w:numId w:val="19"/>
        </w:numPr>
        <w:adjustRightInd w:val="0"/>
        <w:snapToGrid w:val="0"/>
        <w:spacing w:line="360" w:lineRule="auto"/>
        <w:ind w:left="0" w:firstLine="424" w:firstLineChars="177"/>
        <w:jc w:val="left"/>
        <w:textAlignment w:val="baseline"/>
        <w:rPr>
          <w:rFonts w:asciiTheme="minorEastAsia" w:hAnsiTheme="minorEastAsia"/>
          <w:sz w:val="24"/>
        </w:rPr>
      </w:pPr>
      <w:r>
        <w:rPr>
          <w:rFonts w:hint="eastAsia" w:asciiTheme="minorEastAsia" w:hAnsiTheme="minorEastAsia"/>
          <w:sz w:val="24"/>
        </w:rPr>
        <w:t>项目功能说明书；</w:t>
      </w:r>
    </w:p>
    <w:p>
      <w:pPr>
        <w:pStyle w:val="65"/>
        <w:numPr>
          <w:ilvl w:val="0"/>
          <w:numId w:val="19"/>
        </w:numPr>
        <w:adjustRightInd w:val="0"/>
        <w:snapToGrid w:val="0"/>
        <w:spacing w:line="360" w:lineRule="auto"/>
        <w:ind w:left="0" w:firstLine="424" w:firstLineChars="177"/>
        <w:jc w:val="left"/>
        <w:textAlignment w:val="baseline"/>
        <w:rPr>
          <w:rFonts w:asciiTheme="minorEastAsia" w:hAnsiTheme="minorEastAsia"/>
          <w:sz w:val="24"/>
        </w:rPr>
      </w:pPr>
      <w:r>
        <w:rPr>
          <w:rFonts w:hint="eastAsia" w:asciiTheme="minorEastAsia" w:hAnsiTheme="minorEastAsia"/>
          <w:sz w:val="24"/>
        </w:rPr>
        <w:t>项目过程文档，包括但不限于</w:t>
      </w:r>
      <w:r>
        <w:rPr>
          <w:rFonts w:hint="eastAsia" w:cs="宋体" w:asciiTheme="minorEastAsia" w:hAnsiTheme="minorEastAsia"/>
          <w:kern w:val="0"/>
          <w:sz w:val="24"/>
        </w:rPr>
        <w:t>项目实施计划、</w:t>
      </w:r>
      <w:r>
        <w:rPr>
          <w:rFonts w:hint="eastAsia" w:asciiTheme="minorEastAsia" w:hAnsiTheme="minorEastAsia"/>
          <w:sz w:val="24"/>
        </w:rPr>
        <w:t>会议纪要、项目周报、验收报告；</w:t>
      </w:r>
    </w:p>
    <w:p>
      <w:pPr>
        <w:pStyle w:val="65"/>
        <w:numPr>
          <w:ilvl w:val="0"/>
          <w:numId w:val="20"/>
        </w:numPr>
        <w:adjustRightInd w:val="0"/>
        <w:snapToGrid w:val="0"/>
        <w:spacing w:line="360" w:lineRule="auto"/>
        <w:ind w:left="0" w:firstLine="424" w:firstLineChars="177"/>
        <w:jc w:val="left"/>
        <w:textAlignment w:val="baseline"/>
        <w:rPr>
          <w:rFonts w:asciiTheme="minorEastAsia" w:hAnsiTheme="minorEastAsia"/>
          <w:sz w:val="24"/>
        </w:rPr>
      </w:pPr>
      <w:r>
        <w:rPr>
          <w:rFonts w:hint="eastAsia" w:asciiTheme="minorEastAsia" w:hAnsiTheme="minorEastAsia"/>
          <w:sz w:val="24"/>
        </w:rPr>
        <w:t>项目技术文档，包括但不限于</w:t>
      </w:r>
      <w:r>
        <w:rPr>
          <w:rFonts w:hint="eastAsia" w:cs="宋体" w:asciiTheme="minorEastAsia" w:hAnsiTheme="minorEastAsia"/>
          <w:sz w:val="24"/>
        </w:rPr>
        <w:t>功能说明、</w:t>
      </w:r>
      <w:r>
        <w:rPr>
          <w:rFonts w:hint="eastAsia" w:cs="宋体" w:asciiTheme="minorEastAsia" w:hAnsiTheme="minorEastAsia"/>
          <w:kern w:val="0"/>
          <w:sz w:val="24"/>
        </w:rPr>
        <w:t>使用操作手册、功能模块上线清单、系统测试方案、测试报告、培训手册、</w:t>
      </w:r>
      <w:r>
        <w:rPr>
          <w:rFonts w:hint="eastAsia" w:asciiTheme="minorEastAsia" w:hAnsiTheme="minorEastAsia"/>
          <w:sz w:val="24"/>
        </w:rPr>
        <w:t>与第三方系统对接的方案</w:t>
      </w:r>
      <w:r>
        <w:rPr>
          <w:rFonts w:hint="eastAsia" w:cs="宋体" w:asciiTheme="minorEastAsia" w:hAnsiTheme="minorEastAsia"/>
          <w:kern w:val="0"/>
          <w:sz w:val="24"/>
        </w:rPr>
        <w:t>。</w:t>
      </w:r>
    </w:p>
    <w:p>
      <w:pPr>
        <w:pStyle w:val="4"/>
        <w:ind w:left="0" w:leftChars="0" w:firstLine="0" w:firstLineChars="0"/>
        <w:jc w:val="left"/>
        <w:rPr>
          <w:sz w:val="28"/>
          <w:szCs w:val="28"/>
        </w:rPr>
      </w:pPr>
      <w:r>
        <w:rPr>
          <w:rFonts w:hint="eastAsia"/>
          <w:sz w:val="28"/>
          <w:szCs w:val="28"/>
          <w:lang w:val="en-US" w:eastAsia="zh-CN"/>
        </w:rPr>
        <w:t>八、</w:t>
      </w:r>
      <w:r>
        <w:rPr>
          <w:rFonts w:hint="eastAsia"/>
          <w:sz w:val="28"/>
          <w:szCs w:val="28"/>
        </w:rPr>
        <w:t>售后服务</w:t>
      </w:r>
      <w:bookmarkEnd w:id="17"/>
      <w:bookmarkEnd w:id="18"/>
      <w:r>
        <w:rPr>
          <w:rFonts w:hint="eastAsia"/>
          <w:sz w:val="28"/>
          <w:szCs w:val="28"/>
        </w:rPr>
        <w:t>要求</w:t>
      </w:r>
    </w:p>
    <w:p>
      <w:pPr>
        <w:pStyle w:val="120"/>
        <w:numPr>
          <w:ilvl w:val="0"/>
          <w:numId w:val="17"/>
        </w:numPr>
        <w:adjustRightInd w:val="0"/>
        <w:snapToGrid w:val="0"/>
        <w:spacing w:line="360" w:lineRule="auto"/>
        <w:ind w:left="0" w:firstLine="424" w:firstLineChars="177"/>
        <w:jc w:val="left"/>
        <w:rPr>
          <w:rFonts w:hint="eastAsia" w:cs="Times New Roman" w:asciiTheme="minorEastAsia" w:hAnsiTheme="minorEastAsia" w:eastAsiaTheme="minorEastAsia"/>
          <w:sz w:val="24"/>
          <w:szCs w:val="21"/>
          <w:lang w:val="en-US"/>
        </w:rPr>
      </w:pPr>
      <w:r>
        <w:rPr>
          <w:rFonts w:hint="eastAsia" w:cs="Times New Roman" w:asciiTheme="minorEastAsia" w:hAnsiTheme="minorEastAsia" w:eastAsiaTheme="minorEastAsia"/>
          <w:sz w:val="24"/>
          <w:szCs w:val="21"/>
          <w:lang w:val="en-US"/>
        </w:rPr>
        <w:t>从验收之日起提供3年免费质保期服务。供应商提供质保期内的维护内容和范围主要包括：改正性维护、数据纠错性维护。即在软件使用过程中识别和纠正软件错误、纠正数据错误造成的系统错误，同时包括改正软件性能缺陷工作。</w:t>
      </w:r>
    </w:p>
    <w:p>
      <w:pPr>
        <w:pStyle w:val="120"/>
        <w:numPr>
          <w:ilvl w:val="0"/>
          <w:numId w:val="17"/>
        </w:numPr>
        <w:adjustRightInd w:val="0"/>
        <w:snapToGrid w:val="0"/>
        <w:spacing w:line="360" w:lineRule="auto"/>
        <w:ind w:left="0" w:firstLine="424" w:firstLineChars="177"/>
        <w:jc w:val="left"/>
        <w:rPr>
          <w:rFonts w:hint="eastAsia" w:cs="Times New Roman" w:asciiTheme="minorEastAsia" w:hAnsiTheme="minorEastAsia" w:eastAsiaTheme="minorEastAsia"/>
          <w:sz w:val="24"/>
          <w:szCs w:val="21"/>
          <w:lang w:val="en-US"/>
        </w:rPr>
      </w:pPr>
      <w:r>
        <w:rPr>
          <w:rFonts w:hint="eastAsia" w:cs="Times New Roman" w:asciiTheme="minorEastAsia" w:hAnsiTheme="minorEastAsia" w:eastAsiaTheme="minorEastAsia"/>
          <w:sz w:val="24"/>
          <w:szCs w:val="21"/>
          <w:lang w:val="en-US"/>
        </w:rPr>
        <w:t>质保期内，安排专职维护工程师提供远程维护服务，每季度提交运行维护报告，以保证系统的稳定运行和适应新业务的开展。</w:t>
      </w:r>
    </w:p>
    <w:p>
      <w:pPr>
        <w:pStyle w:val="120"/>
        <w:numPr>
          <w:ilvl w:val="0"/>
          <w:numId w:val="17"/>
        </w:numPr>
        <w:adjustRightInd w:val="0"/>
        <w:snapToGrid w:val="0"/>
        <w:spacing w:line="360" w:lineRule="auto"/>
        <w:ind w:left="0" w:firstLine="424" w:firstLineChars="177"/>
        <w:jc w:val="left"/>
        <w:rPr>
          <w:rFonts w:hint="eastAsia" w:cs="Times New Roman" w:asciiTheme="minorEastAsia" w:hAnsiTheme="minorEastAsia" w:eastAsiaTheme="minorEastAsia"/>
          <w:sz w:val="24"/>
          <w:szCs w:val="21"/>
          <w:lang w:val="en-US"/>
        </w:rPr>
      </w:pPr>
      <w:r>
        <w:rPr>
          <w:rFonts w:hint="eastAsia" w:cs="Times New Roman" w:asciiTheme="minorEastAsia" w:hAnsiTheme="minorEastAsia" w:eastAsiaTheme="minorEastAsia"/>
          <w:sz w:val="24"/>
          <w:szCs w:val="21"/>
          <w:lang w:val="en-US"/>
        </w:rPr>
        <w:t>产品故障时30分钟内电话响应；若无法解决，1小时内远程网络故障排查，4小时内恢复系统正常运行；重大故障须10分钟内响应医院提出报障请求，1小时内恢复系统正常运行；如有必要需在4小时内到达现场。</w:t>
      </w:r>
    </w:p>
    <w:p>
      <w:pPr>
        <w:pStyle w:val="120"/>
        <w:numPr>
          <w:ilvl w:val="0"/>
          <w:numId w:val="17"/>
        </w:numPr>
        <w:adjustRightInd w:val="0"/>
        <w:snapToGrid w:val="0"/>
        <w:spacing w:line="360" w:lineRule="auto"/>
        <w:ind w:left="0" w:firstLine="424" w:firstLineChars="177"/>
        <w:jc w:val="left"/>
        <w:rPr>
          <w:rFonts w:hint="eastAsia" w:cs="Times New Roman" w:asciiTheme="minorEastAsia" w:hAnsiTheme="minorEastAsia" w:eastAsiaTheme="minorEastAsia"/>
          <w:sz w:val="24"/>
          <w:szCs w:val="21"/>
          <w:lang w:val="en-US"/>
        </w:rPr>
      </w:pPr>
      <w:r>
        <w:rPr>
          <w:rFonts w:hint="eastAsia" w:cs="Times New Roman" w:asciiTheme="minorEastAsia" w:hAnsiTheme="minorEastAsia" w:eastAsiaTheme="minorEastAsia"/>
          <w:sz w:val="24"/>
          <w:szCs w:val="21"/>
          <w:lang w:val="en-US"/>
        </w:rPr>
        <w:t>免费质保期后，供应商提供有偿服务，服务内容和细则与原有质保期相同，有偿服务的年价格双方另行商议；并以最优惠价格和条件提供最新版本升级服务。</w:t>
      </w: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66"/>
        <w:rPr>
          <w:rFonts w:cs="宋体" w:asciiTheme="majorEastAsia" w:hAnsiTheme="majorEastAsia" w:eastAsiaTheme="majorEastAsia"/>
          <w:szCs w:val="24"/>
        </w:rPr>
      </w:pPr>
    </w:p>
    <w:p>
      <w:pPr>
        <w:spacing w:line="360" w:lineRule="auto"/>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第四章   授予合同及参考范本</w:t>
      </w:r>
    </w:p>
    <w:p>
      <w:pPr>
        <w:tabs>
          <w:tab w:val="left" w:pos="1440"/>
        </w:tabs>
        <w:spacing w:line="480" w:lineRule="exact"/>
        <w:jc w:val="center"/>
        <w:rPr>
          <w:rFonts w:asciiTheme="majorEastAsia" w:hAnsiTheme="majorEastAsia" w:eastAsiaTheme="majorEastAsia"/>
          <w:b/>
          <w:sz w:val="10"/>
          <w:szCs w:val="10"/>
        </w:rPr>
      </w:pPr>
    </w:p>
    <w:p>
      <w:pPr>
        <w:spacing w:line="460" w:lineRule="exact"/>
        <w:ind w:firstLine="237" w:firstLineChars="99"/>
        <w:rPr>
          <w:rFonts w:asciiTheme="majorEastAsia" w:hAnsiTheme="majorEastAsia" w:eastAsiaTheme="majorEastAsia"/>
          <w:sz w:val="24"/>
          <w:szCs w:val="24"/>
        </w:rPr>
      </w:pPr>
      <w:r>
        <w:rPr>
          <w:rFonts w:hint="eastAsia" w:asciiTheme="majorEastAsia" w:hAnsiTheme="majorEastAsia" w:eastAsiaTheme="majorEastAsia"/>
          <w:sz w:val="24"/>
          <w:szCs w:val="24"/>
        </w:rPr>
        <w:t>一、授予合同前调整的权力</w:t>
      </w:r>
    </w:p>
    <w:p>
      <w:pPr>
        <w:spacing w:line="460" w:lineRule="exact"/>
        <w:ind w:left="178" w:leftChars="85" w:firstLine="537" w:firstLineChars="224"/>
        <w:rPr>
          <w:rFonts w:asciiTheme="majorEastAsia" w:hAnsiTheme="majorEastAsia" w:eastAsiaTheme="majorEastAsia"/>
          <w:color w:val="000000" w:themeColor="text1"/>
          <w:sz w:val="24"/>
          <w:szCs w:val="24"/>
        </w:rPr>
      </w:pPr>
      <w:r>
        <w:rPr>
          <w:rFonts w:hint="eastAsia" w:asciiTheme="majorEastAsia" w:hAnsiTheme="majorEastAsia" w:eastAsiaTheme="majorEastAsia"/>
          <w:sz w:val="24"/>
          <w:szCs w:val="24"/>
        </w:rPr>
        <w:t>采购人在授予合同前，有</w:t>
      </w:r>
      <w:r>
        <w:rPr>
          <w:rFonts w:hint="eastAsia" w:asciiTheme="majorEastAsia" w:hAnsiTheme="majorEastAsia" w:eastAsiaTheme="majorEastAsia"/>
          <w:color w:val="000000" w:themeColor="text1"/>
          <w:sz w:val="24"/>
          <w:szCs w:val="24"/>
        </w:rPr>
        <w:t>权在法定范围内进行适当调整并据实结算。</w:t>
      </w:r>
    </w:p>
    <w:p>
      <w:pPr>
        <w:spacing w:line="460" w:lineRule="exact"/>
        <w:ind w:firstLine="240" w:firstLineChars="1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二、签订合同</w:t>
      </w:r>
    </w:p>
    <w:p>
      <w:pPr>
        <w:spacing w:line="460" w:lineRule="exact"/>
        <w:ind w:left="181" w:leftChars="86"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1、成交人在收到《成交通知书》后，由</w:t>
      </w:r>
      <w:r>
        <w:rPr>
          <w:rFonts w:hint="eastAsia" w:asciiTheme="majorEastAsia" w:hAnsiTheme="majorEastAsia" w:eastAsiaTheme="majorEastAsia"/>
          <w:color w:val="000000" w:themeColor="text1"/>
          <w:kern w:val="0"/>
          <w:sz w:val="24"/>
          <w:lang w:eastAsia="zh-CN"/>
        </w:rPr>
        <w:t>临沂市妇幼保健院</w:t>
      </w:r>
      <w:r>
        <w:rPr>
          <w:rFonts w:hint="eastAsia" w:asciiTheme="majorEastAsia" w:hAnsiTheme="majorEastAsia" w:eastAsiaTheme="majorEastAsia"/>
          <w:color w:val="000000" w:themeColor="text1"/>
          <w:sz w:val="24"/>
          <w:szCs w:val="24"/>
        </w:rPr>
        <w:t>与成交人签订合同，如有特别约定的，从其约定。</w:t>
      </w:r>
    </w:p>
    <w:p>
      <w:pPr>
        <w:spacing w:line="460" w:lineRule="exact"/>
        <w:ind w:left="181" w:leftChars="86"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2、由于成交人的原因逾期未与采购人签订采购合同的，将视为放弃成交，取消其成交资格并将按相关规定进行处理。</w:t>
      </w:r>
    </w:p>
    <w:p>
      <w:pPr>
        <w:spacing w:line="460" w:lineRule="exact"/>
        <w:ind w:left="181" w:leftChars="86" w:firstLine="480" w:firstLineChars="200"/>
        <w:rPr>
          <w:rFonts w:asciiTheme="majorEastAsia" w:hAnsiTheme="majorEastAsia" w:eastAsiaTheme="majorEastAsia"/>
          <w:sz w:val="24"/>
          <w:szCs w:val="24"/>
        </w:rPr>
      </w:pPr>
      <w:r>
        <w:rPr>
          <w:rFonts w:hint="eastAsia" w:asciiTheme="majorEastAsia" w:hAnsiTheme="majorEastAsia" w:eastAsiaTheme="majorEastAsia"/>
          <w:color w:val="000000" w:themeColor="text1"/>
          <w:sz w:val="24"/>
          <w:szCs w:val="24"/>
        </w:rPr>
        <w:t>3、合同签订的内容不能超出磋商文件和响应文件的实质性内</w:t>
      </w:r>
      <w:r>
        <w:rPr>
          <w:rFonts w:hint="eastAsia" w:asciiTheme="majorEastAsia" w:hAnsiTheme="majorEastAsia" w:eastAsiaTheme="majorEastAsia"/>
          <w:sz w:val="24"/>
          <w:szCs w:val="24"/>
        </w:rPr>
        <w:t>容。</w:t>
      </w:r>
    </w:p>
    <w:p>
      <w:pPr>
        <w:spacing w:line="460" w:lineRule="exact"/>
        <w:ind w:left="181" w:leftChars="86"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4、磋商文件、响应文件、成交通知书及成交人在评审过程中就有关问题做出的书面说明或承诺等是合同的组成部分。</w:t>
      </w:r>
    </w:p>
    <w:p>
      <w:pPr>
        <w:spacing w:line="460" w:lineRule="exact"/>
        <w:ind w:left="181" w:leftChars="86"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5、成交人因不可抗力原因不能履行采购合同或放弃成交的，采购人可以与排在成交人之后第一位的成交候选人签订采购合同，以此类推。</w:t>
      </w:r>
    </w:p>
    <w:p>
      <w:pPr>
        <w:spacing w:line="460" w:lineRule="exact"/>
        <w:ind w:left="181" w:leftChars="86"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6、违约责任、风险承担等其他事项在签订合同时双方具体约定。</w:t>
      </w:r>
    </w:p>
    <w:p>
      <w:pPr>
        <w:spacing w:line="460" w:lineRule="exact"/>
        <w:ind w:left="181" w:leftChars="86"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7、成交供应商在合同签订之后三个工作日内，将签订的合同送采购代理机构一份备案。</w:t>
      </w:r>
    </w:p>
    <w:p>
      <w:pPr>
        <w:spacing w:line="460" w:lineRule="exact"/>
        <w:rPr>
          <w:rFonts w:asciiTheme="majorEastAsia" w:hAnsiTheme="majorEastAsia" w:eastAsiaTheme="majorEastAsia"/>
          <w:b/>
          <w:bCs/>
          <w:sz w:val="24"/>
          <w:szCs w:val="24"/>
        </w:rPr>
      </w:pPr>
      <w:r>
        <w:rPr>
          <w:rFonts w:hint="eastAsia" w:asciiTheme="majorEastAsia" w:hAnsiTheme="majorEastAsia" w:eastAsiaTheme="majorEastAsia"/>
          <w:sz w:val="24"/>
          <w:szCs w:val="24"/>
        </w:rPr>
        <w:t>三、采购合同公示</w:t>
      </w:r>
      <w:r>
        <w:rPr>
          <w:rFonts w:hint="eastAsia" w:asciiTheme="majorEastAsia" w:hAnsiTheme="majorEastAsia" w:eastAsiaTheme="majorEastAsia"/>
          <w:b/>
          <w:bCs/>
          <w:sz w:val="24"/>
          <w:szCs w:val="24"/>
        </w:rPr>
        <w:t>：</w:t>
      </w:r>
    </w:p>
    <w:p>
      <w:pPr>
        <w:spacing w:line="46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采购人、采购代理机构应当在政府采购合同签订之日起 2个工作日内，将采购合同予以公开发布。采购合同应当按照合同标准文本载明合同标的、合同金额、履行期限、违约责任等主要条款。采购合同公示应当包括以下主要内容：（一）采购人、采购代理机构的名称、地址和联系方式；（二）采购项目名称、合同名称及编号；（三）成交供应商的名称、地址和联系方式；（四）合同金额；（五）合同文本。</w:t>
      </w:r>
    </w:p>
    <w:p>
      <w:pPr>
        <w:spacing w:line="460" w:lineRule="exact"/>
        <w:ind w:left="181" w:leftChars="86" w:firstLine="480" w:firstLineChars="200"/>
        <w:rPr>
          <w:rFonts w:asciiTheme="majorEastAsia" w:hAnsiTheme="majorEastAsia" w:eastAsiaTheme="majorEastAsia"/>
          <w:sz w:val="24"/>
          <w:szCs w:val="24"/>
        </w:rPr>
      </w:pPr>
    </w:p>
    <w:p>
      <w:pPr>
        <w:spacing w:line="460" w:lineRule="exact"/>
        <w:ind w:left="181" w:leftChars="86" w:firstLine="480" w:firstLineChars="200"/>
        <w:rPr>
          <w:rFonts w:asciiTheme="majorEastAsia" w:hAnsiTheme="majorEastAsia" w:eastAsiaTheme="majorEastAsia"/>
          <w:sz w:val="24"/>
          <w:szCs w:val="24"/>
        </w:rPr>
      </w:pPr>
    </w:p>
    <w:p>
      <w:pPr>
        <w:spacing w:line="460" w:lineRule="exact"/>
        <w:ind w:left="181" w:leftChars="86" w:firstLine="480" w:firstLineChars="200"/>
        <w:rPr>
          <w:rFonts w:asciiTheme="majorEastAsia" w:hAnsiTheme="majorEastAsia" w:eastAsiaTheme="majorEastAsia"/>
          <w:sz w:val="24"/>
          <w:szCs w:val="24"/>
        </w:rPr>
      </w:pPr>
    </w:p>
    <w:p>
      <w:pPr>
        <w:spacing w:line="460" w:lineRule="exact"/>
        <w:ind w:left="181" w:leftChars="86" w:firstLine="480" w:firstLineChars="200"/>
        <w:rPr>
          <w:rFonts w:asciiTheme="majorEastAsia" w:hAnsiTheme="majorEastAsia" w:eastAsiaTheme="majorEastAsia"/>
          <w:sz w:val="24"/>
          <w:szCs w:val="24"/>
        </w:rPr>
      </w:pPr>
    </w:p>
    <w:p>
      <w:pPr>
        <w:spacing w:line="460" w:lineRule="exact"/>
        <w:ind w:left="181" w:leftChars="86" w:firstLine="480" w:firstLineChars="200"/>
        <w:rPr>
          <w:rFonts w:asciiTheme="majorEastAsia" w:hAnsiTheme="majorEastAsia" w:eastAsiaTheme="majorEastAsia"/>
          <w:sz w:val="24"/>
          <w:szCs w:val="24"/>
        </w:rPr>
      </w:pPr>
    </w:p>
    <w:p>
      <w:pPr>
        <w:spacing w:line="460" w:lineRule="exact"/>
        <w:ind w:left="181" w:leftChars="86" w:firstLine="480" w:firstLineChars="200"/>
        <w:rPr>
          <w:rFonts w:asciiTheme="majorEastAsia" w:hAnsiTheme="majorEastAsia" w:eastAsiaTheme="majorEastAsia"/>
          <w:sz w:val="24"/>
          <w:szCs w:val="24"/>
        </w:rPr>
      </w:pPr>
    </w:p>
    <w:p>
      <w:pPr>
        <w:rPr>
          <w:rFonts w:asciiTheme="majorEastAsia" w:hAnsiTheme="majorEastAsia" w:eastAsiaTheme="majorEastAsia"/>
        </w:rPr>
      </w:pPr>
    </w:p>
    <w:p>
      <w:pPr>
        <w:spacing w:beforeLines="100" w:line="440" w:lineRule="exact"/>
        <w:jc w:val="center"/>
        <w:rPr>
          <w:rFonts w:asciiTheme="majorEastAsia" w:hAnsiTheme="majorEastAsia" w:eastAsiaTheme="majorEastAsia"/>
          <w:b/>
          <w:sz w:val="72"/>
          <w:szCs w:val="72"/>
        </w:rPr>
      </w:pPr>
    </w:p>
    <w:p>
      <w:pPr>
        <w:spacing w:beforeLines="100" w:line="440" w:lineRule="exact"/>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采 购 合 同</w:t>
      </w:r>
    </w:p>
    <w:p>
      <w:pPr>
        <w:spacing w:beforeLines="100" w:line="440" w:lineRule="exact"/>
        <w:jc w:val="center"/>
        <w:rPr>
          <w:rFonts w:asciiTheme="majorEastAsia" w:hAnsiTheme="majorEastAsia" w:eastAsiaTheme="majorEastAsia"/>
          <w:sz w:val="84"/>
          <w:szCs w:val="84"/>
        </w:rPr>
      </w:pPr>
    </w:p>
    <w:p>
      <w:pPr>
        <w:spacing w:line="440" w:lineRule="exact"/>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（范本）</w:t>
      </w:r>
    </w:p>
    <w:p>
      <w:pPr>
        <w:spacing w:line="440" w:lineRule="exact"/>
        <w:rPr>
          <w:rFonts w:asciiTheme="majorEastAsia" w:hAnsiTheme="majorEastAsia" w:eastAsiaTheme="majorEastAsia"/>
          <w:b/>
          <w:sz w:val="48"/>
        </w:rPr>
      </w:pPr>
    </w:p>
    <w:p>
      <w:pPr>
        <w:spacing w:line="440" w:lineRule="exact"/>
        <w:jc w:val="center"/>
        <w:rPr>
          <w:rFonts w:asciiTheme="majorEastAsia" w:hAnsiTheme="majorEastAsia" w:eastAsiaTheme="majorEastAsia"/>
          <w:b/>
          <w:sz w:val="48"/>
        </w:rPr>
      </w:pPr>
    </w:p>
    <w:p>
      <w:pPr>
        <w:spacing w:line="440" w:lineRule="exact"/>
        <w:jc w:val="center"/>
        <w:rPr>
          <w:rFonts w:asciiTheme="majorEastAsia" w:hAnsiTheme="majorEastAsia" w:eastAsiaTheme="majorEastAsia"/>
          <w:b/>
          <w:sz w:val="48"/>
        </w:rPr>
      </w:pPr>
    </w:p>
    <w:p>
      <w:pPr>
        <w:spacing w:line="440" w:lineRule="exact"/>
        <w:jc w:val="center"/>
        <w:rPr>
          <w:rFonts w:asciiTheme="majorEastAsia" w:hAnsiTheme="majorEastAsia" w:eastAsiaTheme="majorEastAsia"/>
          <w:b/>
          <w:sz w:val="44"/>
        </w:rPr>
      </w:pPr>
    </w:p>
    <w:p>
      <w:pPr>
        <w:pStyle w:val="24"/>
        <w:spacing w:line="440" w:lineRule="exact"/>
        <w:ind w:firstLine="2108" w:firstLineChars="700"/>
        <w:rPr>
          <w:rFonts w:asciiTheme="majorEastAsia" w:hAnsiTheme="majorEastAsia" w:eastAsiaTheme="majorEastAsia"/>
          <w:b/>
          <w:sz w:val="30"/>
          <w:szCs w:val="30"/>
          <w:u w:val="single"/>
        </w:rPr>
      </w:pPr>
      <w:r>
        <w:rPr>
          <w:rFonts w:hint="eastAsia" w:asciiTheme="majorEastAsia" w:hAnsiTheme="majorEastAsia" w:eastAsiaTheme="majorEastAsia"/>
          <w:b/>
          <w:sz w:val="30"/>
          <w:szCs w:val="30"/>
        </w:rPr>
        <w:t>项目名称:</w:t>
      </w:r>
      <w:r>
        <w:rPr>
          <w:rFonts w:hint="eastAsia" w:asciiTheme="majorEastAsia" w:hAnsiTheme="majorEastAsia" w:eastAsiaTheme="majorEastAsia"/>
          <w:b/>
          <w:sz w:val="30"/>
          <w:szCs w:val="30"/>
          <w:u w:val="single"/>
        </w:rPr>
        <w:t xml:space="preserve">                   </w:t>
      </w:r>
    </w:p>
    <w:p>
      <w:pPr>
        <w:spacing w:beforeLines="100" w:line="440" w:lineRule="exact"/>
        <w:ind w:firstLine="2153" w:firstLineChars="715"/>
        <w:rPr>
          <w:rFonts w:asciiTheme="majorEastAsia" w:hAnsiTheme="majorEastAsia" w:eastAsiaTheme="majorEastAsia"/>
          <w:b/>
          <w:sz w:val="30"/>
          <w:szCs w:val="30"/>
          <w:u w:val="single"/>
        </w:rPr>
      </w:pPr>
      <w:r>
        <w:rPr>
          <w:rFonts w:hint="eastAsia" w:asciiTheme="majorEastAsia" w:hAnsiTheme="majorEastAsia" w:eastAsiaTheme="majorEastAsia"/>
          <w:b/>
          <w:sz w:val="30"/>
          <w:szCs w:val="30"/>
        </w:rPr>
        <w:t>项目编号:</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sz w:val="30"/>
          <w:szCs w:val="30"/>
          <w:u w:val="single"/>
        </w:rPr>
        <w:t xml:space="preserve">                  </w:t>
      </w:r>
    </w:p>
    <w:p>
      <w:pPr>
        <w:spacing w:line="440" w:lineRule="exact"/>
        <w:jc w:val="center"/>
        <w:rPr>
          <w:rFonts w:asciiTheme="majorEastAsia" w:hAnsiTheme="majorEastAsia" w:eastAsiaTheme="majorEastAsia"/>
          <w:b/>
          <w:sz w:val="30"/>
          <w:szCs w:val="30"/>
        </w:rPr>
      </w:pPr>
    </w:p>
    <w:p>
      <w:pPr>
        <w:spacing w:line="440" w:lineRule="exact"/>
        <w:jc w:val="center"/>
        <w:rPr>
          <w:rFonts w:asciiTheme="majorEastAsia" w:hAnsiTheme="majorEastAsia" w:eastAsiaTheme="majorEastAsia"/>
          <w:b/>
          <w:sz w:val="30"/>
          <w:szCs w:val="30"/>
        </w:rPr>
      </w:pPr>
    </w:p>
    <w:p>
      <w:pPr>
        <w:spacing w:line="440" w:lineRule="exact"/>
        <w:jc w:val="center"/>
        <w:rPr>
          <w:rFonts w:asciiTheme="majorEastAsia" w:hAnsiTheme="majorEastAsia" w:eastAsiaTheme="majorEastAsia"/>
          <w:b/>
          <w:sz w:val="30"/>
          <w:szCs w:val="30"/>
        </w:rPr>
      </w:pPr>
    </w:p>
    <w:p>
      <w:pPr>
        <w:spacing w:line="440" w:lineRule="exact"/>
        <w:jc w:val="center"/>
        <w:rPr>
          <w:rFonts w:asciiTheme="majorEastAsia" w:hAnsiTheme="majorEastAsia" w:eastAsiaTheme="majorEastAsia"/>
          <w:b/>
          <w:sz w:val="30"/>
          <w:szCs w:val="30"/>
        </w:rPr>
      </w:pPr>
    </w:p>
    <w:p>
      <w:pPr>
        <w:spacing w:line="440" w:lineRule="exact"/>
        <w:ind w:firstLine="2108" w:firstLineChars="700"/>
        <w:rPr>
          <w:rFonts w:asciiTheme="majorEastAsia" w:hAnsiTheme="majorEastAsia" w:eastAsiaTheme="majorEastAsia"/>
          <w:b/>
          <w:sz w:val="30"/>
          <w:szCs w:val="30"/>
        </w:rPr>
      </w:pPr>
    </w:p>
    <w:p>
      <w:pPr>
        <w:spacing w:line="440" w:lineRule="exact"/>
        <w:ind w:firstLine="2108" w:firstLineChars="700"/>
        <w:rPr>
          <w:rFonts w:asciiTheme="majorEastAsia" w:hAnsiTheme="majorEastAsia" w:eastAsiaTheme="majorEastAsia"/>
          <w:b/>
          <w:sz w:val="30"/>
          <w:szCs w:val="30"/>
        </w:rPr>
      </w:pPr>
      <w:r>
        <w:rPr>
          <w:rFonts w:hint="eastAsia" w:asciiTheme="majorEastAsia" w:hAnsiTheme="majorEastAsia" w:eastAsiaTheme="majorEastAsia"/>
          <w:b/>
          <w:sz w:val="30"/>
          <w:szCs w:val="30"/>
        </w:rPr>
        <w:t>甲    方:</w:t>
      </w:r>
      <w:r>
        <w:rPr>
          <w:rFonts w:hint="eastAsia" w:asciiTheme="majorEastAsia" w:hAnsiTheme="majorEastAsia" w:eastAsiaTheme="majorEastAsia"/>
          <w:b/>
          <w:sz w:val="30"/>
          <w:szCs w:val="30"/>
          <w:u w:val="single"/>
        </w:rPr>
        <w:t xml:space="preserve">                    </w:t>
      </w:r>
    </w:p>
    <w:p>
      <w:pPr>
        <w:spacing w:beforeLines="100" w:line="440" w:lineRule="exact"/>
        <w:ind w:firstLine="2108" w:firstLineChars="700"/>
        <w:rPr>
          <w:rFonts w:asciiTheme="majorEastAsia" w:hAnsiTheme="majorEastAsia" w:eastAsiaTheme="majorEastAsia"/>
          <w:sz w:val="24"/>
          <w:u w:val="single"/>
        </w:rPr>
        <w:sectPr>
          <w:headerReference r:id="rId6" w:type="default"/>
          <w:footerReference r:id="rId7" w:type="default"/>
          <w:footerReference r:id="rId8" w:type="even"/>
          <w:pgSz w:w="11906" w:h="16838"/>
          <w:pgMar w:top="1440" w:right="1418" w:bottom="1402" w:left="1418" w:header="851" w:footer="992" w:gutter="0"/>
          <w:pgNumType w:fmt="decimal"/>
          <w:cols w:space="720" w:num="1"/>
          <w:docGrid w:linePitch="312" w:charSpace="0"/>
        </w:sectPr>
      </w:pPr>
      <w:r>
        <w:rPr>
          <w:rFonts w:hint="eastAsia" w:asciiTheme="majorEastAsia" w:hAnsiTheme="majorEastAsia" w:eastAsiaTheme="majorEastAsia"/>
          <w:b/>
          <w:sz w:val="30"/>
          <w:szCs w:val="30"/>
        </w:rPr>
        <w:t>乙    方:</w:t>
      </w:r>
      <w:r>
        <w:rPr>
          <w:rFonts w:hint="eastAsia" w:asciiTheme="majorEastAsia" w:hAnsiTheme="majorEastAsia" w:eastAsiaTheme="majorEastAsia"/>
          <w:b/>
          <w:sz w:val="30"/>
          <w:szCs w:val="30"/>
          <w:u w:val="single"/>
        </w:rPr>
        <w:t xml:space="preserve">                    </w:t>
      </w:r>
    </w:p>
    <w:p>
      <w:pPr>
        <w:spacing w:line="480" w:lineRule="exact"/>
        <w:rPr>
          <w:rFonts w:cs="宋体" w:asciiTheme="majorEastAsia" w:hAnsiTheme="majorEastAsia" w:eastAsiaTheme="majorEastAsia"/>
          <w:b/>
          <w:sz w:val="30"/>
          <w:szCs w:val="30"/>
        </w:rPr>
      </w:pPr>
    </w:p>
    <w:p>
      <w:pPr>
        <w:spacing w:line="440" w:lineRule="exact"/>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（甲方）所需</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（货物名称）以</w:t>
      </w:r>
      <w:r>
        <w:rPr>
          <w:rFonts w:hint="eastAsia" w:asciiTheme="majorEastAsia" w:hAnsiTheme="majorEastAsia" w:eastAsiaTheme="majorEastAsia"/>
          <w:sz w:val="24"/>
          <w:szCs w:val="24"/>
          <w:lang w:val="en-US" w:eastAsia="zh-CN"/>
        </w:rPr>
        <w:t>竞争性磋商</w:t>
      </w:r>
      <w:r>
        <w:rPr>
          <w:rFonts w:hint="eastAsia" w:asciiTheme="majorEastAsia" w:hAnsiTheme="majorEastAsia" w:eastAsiaTheme="majorEastAsia"/>
          <w:sz w:val="24"/>
          <w:szCs w:val="24"/>
        </w:rPr>
        <w:t>方式进行采购。经评标委员会确定</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乙方）为成交供应商。甲、乙双方根据《中华人民共和国合同法》、《中华人民共和国政府采购法》和其他法律、法规的规定，并按照公正、平等、自愿、诚实信用的原则，同意按照以下条款和条件，签署本合同。</w:t>
      </w:r>
    </w:p>
    <w:p>
      <w:pPr>
        <w:spacing w:line="440" w:lineRule="exac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一、本合同由合同文本和下列文件组成</w:t>
      </w:r>
    </w:p>
    <w:p>
      <w:pPr>
        <w:spacing w:line="440" w:lineRule="exact"/>
        <w:ind w:firstLine="480"/>
        <w:rPr>
          <w:rFonts w:asciiTheme="majorEastAsia" w:hAnsiTheme="majorEastAsia" w:eastAsiaTheme="majorEastAsia"/>
          <w:sz w:val="24"/>
          <w:szCs w:val="24"/>
        </w:rPr>
      </w:pPr>
      <w:r>
        <w:rPr>
          <w:rFonts w:hint="eastAsia" w:asciiTheme="majorEastAsia" w:hAnsiTheme="majorEastAsia" w:eastAsiaTheme="majorEastAsia"/>
          <w:sz w:val="24"/>
          <w:szCs w:val="24"/>
        </w:rPr>
        <w:t>1、磋商文件</w:t>
      </w:r>
    </w:p>
    <w:p>
      <w:pPr>
        <w:spacing w:line="440" w:lineRule="exact"/>
        <w:ind w:firstLine="480"/>
        <w:rPr>
          <w:rFonts w:asciiTheme="majorEastAsia" w:hAnsiTheme="majorEastAsia" w:eastAsiaTheme="majorEastAsia"/>
          <w:sz w:val="24"/>
          <w:szCs w:val="24"/>
        </w:rPr>
      </w:pPr>
      <w:r>
        <w:rPr>
          <w:rFonts w:hint="eastAsia" w:asciiTheme="majorEastAsia" w:hAnsiTheme="majorEastAsia" w:eastAsiaTheme="majorEastAsia"/>
          <w:sz w:val="24"/>
          <w:szCs w:val="24"/>
        </w:rPr>
        <w:t>2、响应文件</w:t>
      </w:r>
    </w:p>
    <w:p>
      <w:pPr>
        <w:spacing w:line="440" w:lineRule="exact"/>
        <w:ind w:firstLine="480"/>
        <w:rPr>
          <w:rFonts w:asciiTheme="majorEastAsia" w:hAnsiTheme="majorEastAsia" w:eastAsiaTheme="majorEastAsia"/>
          <w:sz w:val="24"/>
          <w:szCs w:val="24"/>
        </w:rPr>
      </w:pPr>
      <w:r>
        <w:rPr>
          <w:rFonts w:hint="eastAsia" w:asciiTheme="majorEastAsia" w:hAnsiTheme="majorEastAsia" w:eastAsiaTheme="majorEastAsia"/>
          <w:sz w:val="24"/>
          <w:szCs w:val="24"/>
        </w:rPr>
        <w:t>3、成交通知书</w:t>
      </w:r>
    </w:p>
    <w:p>
      <w:pPr>
        <w:spacing w:line="440" w:lineRule="exact"/>
        <w:ind w:firstLine="480"/>
        <w:rPr>
          <w:rFonts w:asciiTheme="majorEastAsia" w:hAnsiTheme="majorEastAsia" w:eastAsiaTheme="majorEastAsia"/>
          <w:sz w:val="24"/>
          <w:szCs w:val="24"/>
        </w:rPr>
      </w:pPr>
      <w:r>
        <w:rPr>
          <w:rFonts w:hint="eastAsia" w:asciiTheme="majorEastAsia" w:hAnsiTheme="majorEastAsia" w:eastAsiaTheme="majorEastAsia"/>
          <w:sz w:val="24"/>
          <w:szCs w:val="24"/>
        </w:rPr>
        <w:t>4、成交人做出的书面澄清或承诺</w:t>
      </w:r>
    </w:p>
    <w:p>
      <w:pPr>
        <w:spacing w:line="440" w:lineRule="exact"/>
        <w:ind w:firstLine="480"/>
        <w:rPr>
          <w:rFonts w:asciiTheme="majorEastAsia" w:hAnsiTheme="majorEastAsia" w:eastAsiaTheme="majorEastAsia"/>
          <w:sz w:val="24"/>
          <w:szCs w:val="24"/>
        </w:rPr>
      </w:pPr>
      <w:r>
        <w:rPr>
          <w:rFonts w:hint="eastAsia" w:asciiTheme="majorEastAsia" w:hAnsiTheme="majorEastAsia" w:eastAsiaTheme="majorEastAsia"/>
          <w:sz w:val="24"/>
          <w:szCs w:val="24"/>
        </w:rPr>
        <w:t>5、本合同附件</w:t>
      </w:r>
    </w:p>
    <w:p>
      <w:pPr>
        <w:spacing w:line="440" w:lineRule="exac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二、</w:t>
      </w:r>
      <w:r>
        <w:rPr>
          <w:rFonts w:hint="eastAsia" w:asciiTheme="majorEastAsia" w:hAnsiTheme="majorEastAsia" w:eastAsiaTheme="majorEastAsia"/>
          <w:b/>
          <w:bCs/>
          <w:sz w:val="24"/>
          <w:szCs w:val="24"/>
          <w:lang w:val="en-US" w:eastAsia="zh-CN"/>
        </w:rPr>
        <w:t>服务</w:t>
      </w:r>
      <w:r>
        <w:rPr>
          <w:rFonts w:hint="eastAsia" w:asciiTheme="majorEastAsia" w:hAnsiTheme="majorEastAsia" w:eastAsiaTheme="majorEastAsia"/>
          <w:b/>
          <w:bCs/>
          <w:sz w:val="24"/>
          <w:szCs w:val="24"/>
        </w:rPr>
        <w:t>名称、数量、单价、规格和标准</w:t>
      </w:r>
    </w:p>
    <w:p>
      <w:pPr>
        <w:spacing w:line="440" w:lineRule="exact"/>
        <w:ind w:firstLine="480" w:firstLineChars="200"/>
        <w:rPr>
          <w:rFonts w:asciiTheme="majorEastAsia" w:hAnsiTheme="majorEastAsia" w:eastAsiaTheme="majorEastAsia"/>
          <w:sz w:val="24"/>
          <w:szCs w:val="24"/>
          <w:u w:val="single"/>
        </w:rPr>
      </w:pP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bCs/>
          <w:sz w:val="24"/>
          <w:szCs w:val="24"/>
          <w:u w:val="single"/>
        </w:rPr>
        <w:t>（详细清单见附件）</w:t>
      </w:r>
      <w:r>
        <w:rPr>
          <w:rFonts w:hint="eastAsia" w:asciiTheme="majorEastAsia" w:hAnsiTheme="majorEastAsia" w:eastAsiaTheme="majorEastAsia"/>
          <w:sz w:val="24"/>
          <w:szCs w:val="24"/>
          <w:u w:val="single"/>
        </w:rPr>
        <w:t xml:space="preserve">                                                     </w:t>
      </w:r>
    </w:p>
    <w:p>
      <w:pPr>
        <w:spacing w:line="440" w:lineRule="exact"/>
        <w:rPr>
          <w:rFonts w:asciiTheme="majorEastAsia" w:hAnsiTheme="majorEastAsia" w:eastAsiaTheme="majorEastAsia"/>
          <w:sz w:val="24"/>
          <w:szCs w:val="24"/>
          <w:u w:val="single"/>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sz w:val="24"/>
          <w:szCs w:val="24"/>
          <w:u w:val="single"/>
        </w:rPr>
        <w:t xml:space="preserve">                                                                         </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b/>
          <w:bCs/>
          <w:sz w:val="24"/>
          <w:szCs w:val="24"/>
        </w:rPr>
        <w:t>三、合同金额</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合同总金额：</w:t>
      </w:r>
      <w:r>
        <w:rPr>
          <w:rFonts w:hint="eastAsia" w:asciiTheme="majorEastAsia" w:hAnsiTheme="majorEastAsia" w:eastAsiaTheme="majorEastAsia"/>
          <w:sz w:val="24"/>
          <w:szCs w:val="24"/>
          <w:u w:val="single"/>
        </w:rPr>
        <w:t xml:space="preserve">人民币                               </w:t>
      </w:r>
      <w:r>
        <w:rPr>
          <w:rFonts w:hint="eastAsia" w:asciiTheme="majorEastAsia" w:hAnsiTheme="majorEastAsia" w:eastAsiaTheme="majorEastAsia"/>
          <w:sz w:val="24"/>
          <w:szCs w:val="24"/>
        </w:rPr>
        <w:t>元（大写）</w:t>
      </w:r>
    </w:p>
    <w:p>
      <w:pPr>
        <w:spacing w:line="440" w:lineRule="exact"/>
        <w:ind w:firstLine="1920" w:firstLineChars="800"/>
        <w:rPr>
          <w:rFonts w:asciiTheme="majorEastAsia" w:hAnsiTheme="majorEastAsia" w:eastAsiaTheme="majorEastAsia"/>
          <w:sz w:val="24"/>
          <w:szCs w:val="24"/>
        </w:rPr>
      </w:pPr>
      <w:r>
        <w:rPr>
          <w:rFonts w:hint="eastAsia" w:asciiTheme="majorEastAsia" w:hAnsiTheme="majorEastAsia" w:eastAsiaTheme="majorEastAsia"/>
          <w:sz w:val="24"/>
          <w:szCs w:val="24"/>
          <w:u w:val="single"/>
        </w:rPr>
        <w:t xml:space="preserve">人民币                               </w:t>
      </w:r>
      <w:r>
        <w:rPr>
          <w:rFonts w:hint="eastAsia" w:asciiTheme="majorEastAsia" w:hAnsiTheme="majorEastAsia" w:eastAsiaTheme="majorEastAsia"/>
          <w:sz w:val="24"/>
          <w:szCs w:val="24"/>
        </w:rPr>
        <w:t>元（小写）</w:t>
      </w:r>
    </w:p>
    <w:p>
      <w:pPr>
        <w:spacing w:line="440" w:lineRule="exac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四、支付</w:t>
      </w:r>
    </w:p>
    <w:p>
      <w:pPr>
        <w:spacing w:line="440" w:lineRule="exact"/>
        <w:ind w:firstLine="470" w:firstLineChars="196"/>
        <w:rPr>
          <w:rFonts w:asciiTheme="majorEastAsia" w:hAnsiTheme="majorEastAsia" w:eastAsiaTheme="majorEastAsia"/>
          <w:sz w:val="24"/>
          <w:szCs w:val="24"/>
        </w:rPr>
      </w:pPr>
      <w:r>
        <w:rPr>
          <w:rFonts w:hint="eastAsia" w:asciiTheme="majorEastAsia" w:hAnsiTheme="majorEastAsia" w:eastAsiaTheme="majorEastAsia"/>
          <w:sz w:val="24"/>
          <w:szCs w:val="24"/>
          <w:u w:val="single"/>
        </w:rPr>
        <w:t xml:space="preserve">                                                         </w:t>
      </w:r>
    </w:p>
    <w:p>
      <w:pPr>
        <w:spacing w:line="440" w:lineRule="exac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五、交付结果</w:t>
      </w:r>
    </w:p>
    <w:p>
      <w:pPr>
        <w:overflowPunct w:val="0"/>
        <w:spacing w:line="360" w:lineRule="auto"/>
        <w:ind w:firstLine="480" w:firstLineChars="200"/>
        <w:rPr>
          <w:rFonts w:asciiTheme="majorEastAsia" w:hAnsiTheme="majorEastAsia" w:eastAsiaTheme="majorEastAsia"/>
          <w:sz w:val="24"/>
          <w:szCs w:val="24"/>
          <w:u w:val="single"/>
        </w:rPr>
      </w:pPr>
      <w:r>
        <w:rPr>
          <w:rFonts w:hint="eastAsia" w:asciiTheme="majorEastAsia" w:hAnsiTheme="majorEastAsia" w:eastAsiaTheme="majorEastAsia"/>
          <w:sz w:val="24"/>
          <w:szCs w:val="24"/>
          <w:u w:val="single"/>
        </w:rPr>
        <w:t xml:space="preserve">                                                                                                                                                        </w:t>
      </w:r>
    </w:p>
    <w:p>
      <w:pPr>
        <w:spacing w:line="440" w:lineRule="exact"/>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val="en-US" w:eastAsia="zh-CN"/>
        </w:rPr>
        <w:t>六</w:t>
      </w:r>
      <w:r>
        <w:rPr>
          <w:rFonts w:hint="eastAsia" w:asciiTheme="majorEastAsia" w:hAnsiTheme="majorEastAsia" w:eastAsiaTheme="majorEastAsia"/>
          <w:b/>
          <w:bCs/>
          <w:sz w:val="24"/>
          <w:szCs w:val="24"/>
        </w:rPr>
        <w:t>、合同生效</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本合同为附条件合同生效。</w:t>
      </w:r>
    </w:p>
    <w:p>
      <w:pPr>
        <w:spacing w:line="440" w:lineRule="exact"/>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val="en-US" w:eastAsia="zh-CN"/>
        </w:rPr>
        <w:t>七</w:t>
      </w:r>
      <w:r>
        <w:rPr>
          <w:rFonts w:hint="eastAsia" w:asciiTheme="majorEastAsia" w:hAnsiTheme="majorEastAsia" w:eastAsiaTheme="majorEastAsia"/>
          <w:b/>
          <w:bCs/>
          <w:sz w:val="24"/>
          <w:szCs w:val="24"/>
        </w:rPr>
        <w:t>、违约条款</w:t>
      </w:r>
    </w:p>
    <w:p>
      <w:pPr>
        <w:spacing w:line="440" w:lineRule="exact"/>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1、甲方迟付货款，每迟交一天，按逾期应付金额每日0.3‰支付违约金。</w:t>
      </w:r>
    </w:p>
    <w:p>
      <w:pPr>
        <w:spacing w:line="440" w:lineRule="exact"/>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2、甲方延迟验收货物，延迟验收期间发生的费用由甲方承担赔偿责任。</w:t>
      </w:r>
    </w:p>
    <w:p>
      <w:pPr>
        <w:spacing w:line="440" w:lineRule="exact"/>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3、乙方延迟交货每迟交一天，按延期交付货物总额每日1％付违约金.</w:t>
      </w:r>
    </w:p>
    <w:p>
      <w:pPr>
        <w:spacing w:line="440" w:lineRule="exact"/>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4、乙方履行合同不符合规定，除应按合同约定及时调换外，应按调换货物金额每日0.3‰向甲方支付违约金。</w:t>
      </w:r>
    </w:p>
    <w:p>
      <w:pPr>
        <w:spacing w:line="440" w:lineRule="exact"/>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5、一方不按期履行合同，并经另一方提示后30日内仍不履行合同的，本合同解除，乙方对甲方的损失承担赔偿责任。</w:t>
      </w:r>
    </w:p>
    <w:p>
      <w:pPr>
        <w:spacing w:line="440" w:lineRule="exact"/>
        <w:rPr>
          <w:rFonts w:asciiTheme="majorEastAsia" w:hAnsiTheme="majorEastAsia" w:eastAsiaTheme="majorEastAsia"/>
          <w:bCs/>
          <w:sz w:val="24"/>
          <w:szCs w:val="24"/>
        </w:rPr>
      </w:pPr>
      <w:r>
        <w:rPr>
          <w:rFonts w:hint="eastAsia" w:asciiTheme="majorEastAsia" w:hAnsiTheme="majorEastAsia" w:eastAsiaTheme="majorEastAsia"/>
          <w:bCs/>
          <w:sz w:val="24"/>
          <w:szCs w:val="24"/>
        </w:rPr>
        <w:t>乙方已交付的履约保证金，则甲方有权扣除，不足部分甲方保留追讨的权利。</w:t>
      </w:r>
    </w:p>
    <w:p>
      <w:pPr>
        <w:spacing w:line="440" w:lineRule="exact"/>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6、因乙方上述原因造成甲方经济损失时，乙方除赔偿甲方经济损失外，如引起诉讼，还应赔偿甲方因此所发生的如诉讼费律师费等所有费用。</w:t>
      </w:r>
    </w:p>
    <w:p>
      <w:pPr>
        <w:spacing w:line="440" w:lineRule="exact"/>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7、未尽事宜，以《中华人民共和国合同法》和其它有关法律、法规规定为准，无相关规定的，双方协商解决。</w:t>
      </w:r>
    </w:p>
    <w:p>
      <w:pPr>
        <w:spacing w:line="440" w:lineRule="exact"/>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val="en-US" w:eastAsia="zh-CN"/>
        </w:rPr>
        <w:t>八</w:t>
      </w:r>
      <w:r>
        <w:rPr>
          <w:rFonts w:hint="eastAsia" w:asciiTheme="majorEastAsia" w:hAnsiTheme="majorEastAsia" w:eastAsiaTheme="majorEastAsia"/>
          <w:b/>
          <w:bCs/>
          <w:sz w:val="24"/>
          <w:szCs w:val="24"/>
        </w:rPr>
        <w:t>、不可抗力条款</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甲乙双方中任何一方因法定不可抗力不能及时或完全履行合同的，应及时通知政府采购监督管理办公室、招标代理机构及另一方，双方互不承担责任，并在10天内提供相应证明。未履行完合同部分是否继续履行、如何履行等问题，可由双方协商解决，并以书面形式报政府采购监督管理办公室审核后确定。</w:t>
      </w:r>
    </w:p>
    <w:p>
      <w:pPr>
        <w:spacing w:line="440" w:lineRule="exact"/>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val="en-US" w:eastAsia="zh-CN"/>
        </w:rPr>
        <w:t>九</w:t>
      </w:r>
      <w:r>
        <w:rPr>
          <w:rFonts w:hint="eastAsia" w:asciiTheme="majorEastAsia" w:hAnsiTheme="majorEastAsia" w:eastAsiaTheme="majorEastAsia"/>
          <w:b/>
          <w:bCs/>
          <w:sz w:val="24"/>
          <w:szCs w:val="24"/>
        </w:rPr>
        <w:t>、争议的解决方式</w:t>
      </w:r>
    </w:p>
    <w:p>
      <w:pPr>
        <w:pStyle w:val="24"/>
        <w:spacing w:line="440" w:lineRule="exact"/>
        <w:rPr>
          <w:rFonts w:asciiTheme="majorEastAsia" w:hAnsiTheme="majorEastAsia" w:eastAsiaTheme="majorEastAsia"/>
          <w:szCs w:val="24"/>
        </w:rPr>
      </w:pPr>
      <w:r>
        <w:rPr>
          <w:rFonts w:hint="eastAsia" w:asciiTheme="majorEastAsia" w:hAnsiTheme="majorEastAsia" w:eastAsiaTheme="majorEastAsia"/>
          <w:szCs w:val="24"/>
        </w:rPr>
        <w:t>合同发生纠纷时，双方应协商解决，协商不成由政府采购监督管理机构调解，调解不成提交临沂仲裁委员会仲裁。</w:t>
      </w:r>
    </w:p>
    <w:p>
      <w:pPr>
        <w:pStyle w:val="24"/>
        <w:spacing w:line="440" w:lineRule="exact"/>
        <w:ind w:firstLine="0" w:firstLineChars="0"/>
        <w:rPr>
          <w:rFonts w:asciiTheme="majorEastAsia" w:hAnsiTheme="majorEastAsia" w:eastAsiaTheme="majorEastAsia"/>
          <w:b/>
          <w:bCs/>
          <w:szCs w:val="24"/>
        </w:rPr>
      </w:pPr>
      <w:r>
        <w:rPr>
          <w:rFonts w:hint="eastAsia" w:asciiTheme="majorEastAsia" w:hAnsiTheme="majorEastAsia" w:eastAsiaTheme="majorEastAsia"/>
          <w:b/>
          <w:bCs/>
          <w:szCs w:val="24"/>
        </w:rPr>
        <w:t>十、补充协议</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合同未尽事宜，经双方协商并报招标代理机构备案。所签定的补充协议与本合同具有同等的法律效力。</w:t>
      </w:r>
    </w:p>
    <w:p>
      <w:pPr>
        <w:spacing w:line="440" w:lineRule="exac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十</w:t>
      </w:r>
      <w:r>
        <w:rPr>
          <w:rFonts w:hint="eastAsia" w:asciiTheme="majorEastAsia" w:hAnsiTheme="majorEastAsia" w:eastAsiaTheme="majorEastAsia"/>
          <w:b/>
          <w:bCs/>
          <w:sz w:val="24"/>
          <w:szCs w:val="24"/>
          <w:lang w:val="en-US" w:eastAsia="zh-CN"/>
        </w:rPr>
        <w:t>一</w:t>
      </w:r>
      <w:r>
        <w:rPr>
          <w:rFonts w:hint="eastAsia" w:asciiTheme="majorEastAsia" w:hAnsiTheme="majorEastAsia" w:eastAsiaTheme="majorEastAsia"/>
          <w:b/>
          <w:bCs/>
          <w:sz w:val="24"/>
          <w:szCs w:val="24"/>
        </w:rPr>
        <w:t>、其他</w:t>
      </w:r>
    </w:p>
    <w:p>
      <w:pPr>
        <w:spacing w:line="440" w:lineRule="exact"/>
        <w:ind w:firstLine="470" w:firstLineChars="196"/>
        <w:rPr>
          <w:rFonts w:asciiTheme="majorEastAsia" w:hAnsiTheme="majorEastAsia" w:eastAsiaTheme="majorEastAsia"/>
          <w:sz w:val="24"/>
          <w:szCs w:val="24"/>
        </w:rPr>
      </w:pPr>
      <w:r>
        <w:rPr>
          <w:rFonts w:hint="eastAsia" w:asciiTheme="majorEastAsia" w:hAnsiTheme="majorEastAsia" w:eastAsiaTheme="majorEastAsia"/>
          <w:bCs/>
          <w:sz w:val="24"/>
          <w:szCs w:val="24"/>
        </w:rPr>
        <w:t>1、</w:t>
      </w:r>
      <w:r>
        <w:rPr>
          <w:rFonts w:hint="eastAsia" w:asciiTheme="majorEastAsia" w:hAnsiTheme="majorEastAsia" w:eastAsiaTheme="majorEastAsia"/>
          <w:sz w:val="24"/>
          <w:szCs w:val="24"/>
        </w:rPr>
        <w:t>甲方在授予合同时有权在对磋商文件中规定的货物数量和服务予以增加或减少，乙方不改变报价单价。</w:t>
      </w:r>
    </w:p>
    <w:p>
      <w:pPr>
        <w:spacing w:line="440" w:lineRule="exact"/>
        <w:ind w:firstLine="470" w:firstLineChars="196"/>
        <w:rPr>
          <w:rFonts w:asciiTheme="majorEastAsia" w:hAnsiTheme="majorEastAsia" w:eastAsiaTheme="majorEastAsia"/>
          <w:b/>
          <w:bCs/>
          <w:sz w:val="24"/>
          <w:szCs w:val="24"/>
        </w:rPr>
      </w:pPr>
      <w:r>
        <w:rPr>
          <w:rFonts w:hint="eastAsia" w:asciiTheme="majorEastAsia" w:hAnsiTheme="majorEastAsia" w:eastAsiaTheme="majorEastAsia"/>
          <w:bCs/>
          <w:sz w:val="24"/>
          <w:szCs w:val="24"/>
        </w:rPr>
        <w:t>2、</w:t>
      </w:r>
      <w:r>
        <w:rPr>
          <w:rFonts w:hint="eastAsia" w:asciiTheme="majorEastAsia" w:hAnsiTheme="majorEastAsia" w:eastAsiaTheme="majorEastAsia"/>
          <w:sz w:val="24"/>
          <w:szCs w:val="24"/>
        </w:rPr>
        <w:t>合同生效后，甲方如因实际使用需要增加已供设备数量时，乙方提供应不高于成交时的单价。</w:t>
      </w:r>
    </w:p>
    <w:p>
      <w:pPr>
        <w:spacing w:line="440" w:lineRule="exac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十</w:t>
      </w:r>
      <w:r>
        <w:rPr>
          <w:rFonts w:hint="eastAsia" w:asciiTheme="majorEastAsia" w:hAnsiTheme="majorEastAsia" w:eastAsiaTheme="majorEastAsia"/>
          <w:b/>
          <w:bCs/>
          <w:sz w:val="24"/>
          <w:szCs w:val="24"/>
          <w:lang w:val="en-US" w:eastAsia="zh-CN"/>
        </w:rPr>
        <w:t>二</w:t>
      </w:r>
      <w:r>
        <w:rPr>
          <w:rFonts w:hint="eastAsia" w:asciiTheme="majorEastAsia" w:hAnsiTheme="majorEastAsia" w:eastAsiaTheme="majorEastAsia"/>
          <w:b/>
          <w:bCs/>
          <w:sz w:val="24"/>
          <w:szCs w:val="24"/>
        </w:rPr>
        <w:t>、合同保存</w:t>
      </w:r>
    </w:p>
    <w:p>
      <w:pPr>
        <w:spacing w:line="440" w:lineRule="exact"/>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本合同一式</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份，甲方</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份，乙方</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份，政府采购监督管理办公室</w:t>
      </w:r>
      <w:r>
        <w:rPr>
          <w:rFonts w:hint="eastAsia" w:asciiTheme="majorEastAsia" w:hAnsiTheme="majorEastAsia" w:eastAsiaTheme="majorEastAsia"/>
          <w:sz w:val="24"/>
          <w:szCs w:val="24"/>
          <w:u w:val="single"/>
        </w:rPr>
        <w:t>1</w:t>
      </w:r>
      <w:r>
        <w:rPr>
          <w:rFonts w:hint="eastAsia" w:asciiTheme="majorEastAsia" w:hAnsiTheme="majorEastAsia" w:eastAsiaTheme="majorEastAsia"/>
          <w:sz w:val="24"/>
          <w:szCs w:val="24"/>
        </w:rPr>
        <w:t>分，招标代理机构</w:t>
      </w:r>
      <w:r>
        <w:rPr>
          <w:rFonts w:hint="eastAsia" w:asciiTheme="majorEastAsia" w:hAnsiTheme="majorEastAsia" w:eastAsiaTheme="majorEastAsia"/>
          <w:sz w:val="24"/>
          <w:szCs w:val="24"/>
          <w:u w:val="single"/>
        </w:rPr>
        <w:t xml:space="preserve"> 1 </w:t>
      </w:r>
      <w:r>
        <w:rPr>
          <w:rFonts w:hint="eastAsia" w:asciiTheme="majorEastAsia" w:hAnsiTheme="majorEastAsia" w:eastAsiaTheme="majorEastAsia"/>
          <w:sz w:val="24"/>
          <w:szCs w:val="24"/>
        </w:rPr>
        <w:t>份。</w:t>
      </w:r>
    </w:p>
    <w:p>
      <w:pPr>
        <w:spacing w:line="440" w:lineRule="exact"/>
        <w:ind w:left="380" w:leftChars="181" w:firstLine="480"/>
        <w:rPr>
          <w:rFonts w:asciiTheme="majorEastAsia" w:hAnsiTheme="majorEastAsia" w:eastAsiaTheme="majorEastAsia"/>
          <w:sz w:val="24"/>
          <w:szCs w:val="24"/>
        </w:rPr>
      </w:pPr>
      <w:r>
        <w:rPr>
          <w:rFonts w:hint="eastAsia" w:asciiTheme="majorEastAsia" w:hAnsiTheme="majorEastAsia" w:eastAsiaTheme="majorEastAsia"/>
          <w:sz w:val="24"/>
          <w:szCs w:val="24"/>
        </w:rPr>
        <w:t>甲    方：                             乙    方：</w:t>
      </w:r>
    </w:p>
    <w:p>
      <w:pPr>
        <w:spacing w:line="440" w:lineRule="exact"/>
        <w:ind w:left="380" w:leftChars="181"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盖    章                               盖    章</w:t>
      </w:r>
    </w:p>
    <w:p>
      <w:pPr>
        <w:spacing w:line="440" w:lineRule="exact"/>
        <w:ind w:left="380" w:leftChars="181" w:firstLine="482"/>
        <w:rPr>
          <w:rFonts w:asciiTheme="majorEastAsia" w:hAnsiTheme="majorEastAsia" w:eastAsiaTheme="majorEastAsia"/>
          <w:sz w:val="24"/>
          <w:szCs w:val="24"/>
        </w:rPr>
      </w:pPr>
      <w:r>
        <w:rPr>
          <w:rFonts w:hint="eastAsia" w:asciiTheme="majorEastAsia" w:hAnsiTheme="majorEastAsia" w:eastAsiaTheme="majorEastAsia"/>
          <w:sz w:val="24"/>
          <w:szCs w:val="24"/>
        </w:rPr>
        <w:t>全权代表：（签字或盖章）                全权代表：（签字或盖章）</w:t>
      </w:r>
    </w:p>
    <w:p>
      <w:pPr>
        <w:spacing w:line="440" w:lineRule="exact"/>
        <w:ind w:left="380" w:leftChars="181" w:firstLine="482"/>
        <w:rPr>
          <w:rFonts w:asciiTheme="majorEastAsia" w:hAnsiTheme="majorEastAsia" w:eastAsiaTheme="majorEastAsia"/>
          <w:sz w:val="24"/>
          <w:szCs w:val="24"/>
        </w:rPr>
      </w:pPr>
      <w:r>
        <w:rPr>
          <w:rFonts w:hint="eastAsia" w:asciiTheme="majorEastAsia" w:hAnsiTheme="majorEastAsia" w:eastAsiaTheme="majorEastAsia"/>
          <w:sz w:val="24"/>
          <w:szCs w:val="24"/>
        </w:rPr>
        <w:t>地    址：                             地    址：</w:t>
      </w:r>
    </w:p>
    <w:p>
      <w:pPr>
        <w:spacing w:line="440" w:lineRule="exact"/>
        <w:ind w:left="380" w:leftChars="181" w:firstLine="482"/>
        <w:rPr>
          <w:rFonts w:asciiTheme="majorEastAsia" w:hAnsiTheme="majorEastAsia" w:eastAsiaTheme="majorEastAsia"/>
          <w:sz w:val="24"/>
          <w:szCs w:val="24"/>
        </w:rPr>
      </w:pPr>
      <w:r>
        <w:rPr>
          <w:rFonts w:hint="eastAsia" w:asciiTheme="majorEastAsia" w:hAnsiTheme="majorEastAsia" w:eastAsiaTheme="majorEastAsia"/>
          <w:sz w:val="24"/>
          <w:szCs w:val="24"/>
        </w:rPr>
        <w:t>邮政编码：                             邮政编码：</w:t>
      </w:r>
    </w:p>
    <w:p>
      <w:pPr>
        <w:spacing w:line="440" w:lineRule="exact"/>
        <w:ind w:left="380" w:leftChars="181" w:firstLine="482"/>
        <w:rPr>
          <w:rFonts w:asciiTheme="majorEastAsia" w:hAnsiTheme="majorEastAsia" w:eastAsiaTheme="majorEastAsia"/>
          <w:sz w:val="24"/>
          <w:szCs w:val="24"/>
        </w:rPr>
      </w:pPr>
      <w:r>
        <w:rPr>
          <w:rFonts w:hint="eastAsia" w:asciiTheme="majorEastAsia" w:hAnsiTheme="majorEastAsia" w:eastAsiaTheme="majorEastAsia"/>
          <w:sz w:val="24"/>
          <w:szCs w:val="24"/>
        </w:rPr>
        <w:t>电    话：                             电    话：</w:t>
      </w:r>
    </w:p>
    <w:p>
      <w:pPr>
        <w:spacing w:line="440" w:lineRule="exact"/>
        <w:ind w:left="380" w:leftChars="181" w:firstLine="482"/>
        <w:rPr>
          <w:rFonts w:asciiTheme="majorEastAsia" w:hAnsiTheme="majorEastAsia" w:eastAsiaTheme="majorEastAsia"/>
          <w:sz w:val="24"/>
          <w:szCs w:val="24"/>
        </w:rPr>
      </w:pPr>
      <w:r>
        <w:rPr>
          <w:rFonts w:hint="eastAsia" w:asciiTheme="majorEastAsia" w:hAnsiTheme="majorEastAsia" w:eastAsiaTheme="majorEastAsia"/>
          <w:sz w:val="24"/>
          <w:szCs w:val="24"/>
        </w:rPr>
        <w:t>开户单位：                             开户单位：</w:t>
      </w:r>
    </w:p>
    <w:p>
      <w:pPr>
        <w:spacing w:line="440" w:lineRule="exact"/>
        <w:ind w:left="380" w:leftChars="181" w:firstLine="482"/>
        <w:rPr>
          <w:rFonts w:asciiTheme="majorEastAsia" w:hAnsiTheme="majorEastAsia" w:eastAsiaTheme="majorEastAsia"/>
          <w:sz w:val="24"/>
          <w:szCs w:val="24"/>
        </w:rPr>
      </w:pPr>
      <w:r>
        <w:rPr>
          <w:rFonts w:hint="eastAsia" w:asciiTheme="majorEastAsia" w:hAnsiTheme="majorEastAsia" w:eastAsiaTheme="majorEastAsia"/>
          <w:sz w:val="24"/>
          <w:szCs w:val="24"/>
        </w:rPr>
        <w:t>开户银行：                             开户银行：</w:t>
      </w:r>
    </w:p>
    <w:p>
      <w:pPr>
        <w:spacing w:line="440" w:lineRule="exact"/>
        <w:ind w:left="380" w:leftChars="181" w:firstLine="482"/>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帐    号：                             帐    号： </w:t>
      </w:r>
    </w:p>
    <w:p>
      <w:pPr>
        <w:spacing w:line="440" w:lineRule="exact"/>
        <w:ind w:left="380" w:leftChars="181" w:firstLine="482"/>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电    话                               电    话  </w:t>
      </w:r>
    </w:p>
    <w:p>
      <w:pPr>
        <w:spacing w:line="480" w:lineRule="exact"/>
        <w:ind w:firstLine="720" w:firstLineChars="300"/>
        <w:rPr>
          <w:rFonts w:cs="宋体" w:asciiTheme="majorEastAsia" w:hAnsiTheme="majorEastAsia" w:eastAsiaTheme="majorEastAsia"/>
          <w:b/>
          <w:sz w:val="30"/>
          <w:szCs w:val="30"/>
        </w:rPr>
      </w:pPr>
      <w:r>
        <w:rPr>
          <w:rFonts w:hint="eastAsia" w:asciiTheme="majorEastAsia" w:hAnsiTheme="majorEastAsia" w:eastAsiaTheme="majorEastAsia"/>
          <w:sz w:val="24"/>
          <w:szCs w:val="24"/>
        </w:rPr>
        <w:t>本合同签订时间：                       本合同签订时间：</w:t>
      </w:r>
    </w:p>
    <w:p>
      <w:pPr>
        <w:pStyle w:val="55"/>
        <w:ind w:firstLine="480"/>
        <w:rPr>
          <w:rFonts w:asciiTheme="majorEastAsia" w:hAnsiTheme="majorEastAsia" w:eastAsiaTheme="majorEastAsia"/>
          <w:sz w:val="24"/>
        </w:rPr>
      </w:pPr>
    </w:p>
    <w:p>
      <w:pPr>
        <w:pStyle w:val="3"/>
        <w:widowControl/>
        <w:spacing w:before="0" w:after="0" w:line="360" w:lineRule="auto"/>
        <w:jc w:val="center"/>
        <w:rPr>
          <w:rFonts w:asciiTheme="majorEastAsia" w:hAnsiTheme="majorEastAsia" w:eastAsiaTheme="majorEastAsia"/>
          <w:sz w:val="30"/>
          <w:szCs w:val="30"/>
        </w:rPr>
      </w:pPr>
      <w:bookmarkStart w:id="19" w:name="_Toc29710"/>
      <w:bookmarkStart w:id="20" w:name="_Toc15313"/>
    </w:p>
    <w:p>
      <w:pPr>
        <w:pStyle w:val="3"/>
        <w:widowControl/>
        <w:spacing w:before="0" w:after="0" w:line="360" w:lineRule="auto"/>
        <w:jc w:val="center"/>
        <w:rPr>
          <w:rFonts w:asciiTheme="majorEastAsia" w:hAnsiTheme="majorEastAsia" w:eastAsiaTheme="majorEastAsia"/>
          <w:sz w:val="30"/>
          <w:szCs w:val="30"/>
        </w:rPr>
      </w:pPr>
    </w:p>
    <w:p>
      <w:pPr>
        <w:pStyle w:val="3"/>
        <w:widowControl/>
        <w:spacing w:before="0" w:after="0" w:line="360" w:lineRule="auto"/>
        <w:jc w:val="center"/>
        <w:rPr>
          <w:rFonts w:asciiTheme="majorEastAsia" w:hAnsiTheme="majorEastAsia" w:eastAsiaTheme="majorEastAsia"/>
          <w:sz w:val="30"/>
          <w:szCs w:val="30"/>
        </w:rPr>
      </w:pPr>
    </w:p>
    <w:p>
      <w:pPr>
        <w:pStyle w:val="3"/>
        <w:widowControl/>
        <w:spacing w:before="0" w:after="0" w:line="360" w:lineRule="auto"/>
        <w:jc w:val="center"/>
        <w:rPr>
          <w:rFonts w:asciiTheme="majorEastAsia" w:hAnsiTheme="majorEastAsia" w:eastAsiaTheme="majorEastAsia"/>
          <w:sz w:val="30"/>
          <w:szCs w:val="30"/>
        </w:rPr>
      </w:pPr>
    </w:p>
    <w:p>
      <w:pPr>
        <w:pStyle w:val="3"/>
        <w:widowControl/>
        <w:spacing w:before="0" w:after="0" w:line="360" w:lineRule="auto"/>
        <w:jc w:val="center"/>
        <w:rPr>
          <w:rFonts w:asciiTheme="majorEastAsia" w:hAnsiTheme="majorEastAsia" w:eastAsiaTheme="majorEastAsia"/>
          <w:sz w:val="30"/>
          <w:szCs w:val="30"/>
        </w:rPr>
      </w:pPr>
    </w:p>
    <w:p>
      <w:pPr>
        <w:pStyle w:val="3"/>
        <w:widowControl/>
        <w:spacing w:before="0" w:after="0" w:line="360" w:lineRule="auto"/>
        <w:jc w:val="center"/>
        <w:rPr>
          <w:rFonts w:asciiTheme="majorEastAsia" w:hAnsiTheme="majorEastAsia" w:eastAsiaTheme="majorEastAsia"/>
          <w:sz w:val="30"/>
          <w:szCs w:val="30"/>
        </w:rPr>
      </w:pPr>
    </w:p>
    <w:p>
      <w:pPr>
        <w:pStyle w:val="3"/>
        <w:widowControl/>
        <w:spacing w:before="0" w:after="0" w:line="360" w:lineRule="auto"/>
        <w:jc w:val="center"/>
        <w:rPr>
          <w:rFonts w:asciiTheme="majorEastAsia" w:hAnsiTheme="majorEastAsia" w:eastAsiaTheme="majorEastAsia"/>
          <w:sz w:val="30"/>
          <w:szCs w:val="30"/>
        </w:rPr>
      </w:pPr>
    </w:p>
    <w:p>
      <w:pPr>
        <w:rPr>
          <w:rFonts w:asciiTheme="majorEastAsia" w:hAnsiTheme="majorEastAsia" w:eastAsiaTheme="majorEastAsia"/>
        </w:rPr>
      </w:pPr>
    </w:p>
    <w:p>
      <w:pPr>
        <w:pStyle w:val="65"/>
        <w:rPr>
          <w:rFonts w:asciiTheme="majorEastAsia" w:hAnsiTheme="majorEastAsia" w:eastAsiaTheme="majorEastAsia"/>
        </w:rPr>
      </w:pPr>
    </w:p>
    <w:p>
      <w:pPr>
        <w:pStyle w:val="65"/>
        <w:rPr>
          <w:rFonts w:asciiTheme="majorEastAsia" w:hAnsiTheme="majorEastAsia" w:eastAsiaTheme="majorEastAsia"/>
        </w:rPr>
      </w:pPr>
    </w:p>
    <w:p>
      <w:pPr>
        <w:pStyle w:val="65"/>
        <w:rPr>
          <w:rFonts w:asciiTheme="majorEastAsia" w:hAnsiTheme="majorEastAsia" w:eastAsiaTheme="majorEastAsia"/>
        </w:rPr>
      </w:pPr>
    </w:p>
    <w:p>
      <w:pPr>
        <w:pStyle w:val="65"/>
        <w:rPr>
          <w:rFonts w:asciiTheme="majorEastAsia" w:hAnsiTheme="majorEastAsia" w:eastAsiaTheme="majorEastAsia"/>
        </w:rPr>
      </w:pPr>
    </w:p>
    <w:p>
      <w:pPr>
        <w:pStyle w:val="65"/>
        <w:rPr>
          <w:rFonts w:asciiTheme="majorEastAsia" w:hAnsiTheme="majorEastAsia" w:eastAsiaTheme="majorEastAsia"/>
        </w:rPr>
      </w:pPr>
    </w:p>
    <w:p>
      <w:pPr>
        <w:pStyle w:val="65"/>
        <w:rPr>
          <w:rFonts w:asciiTheme="majorEastAsia" w:hAnsiTheme="majorEastAsia" w:eastAsiaTheme="majorEastAsia"/>
        </w:rPr>
      </w:pPr>
    </w:p>
    <w:p>
      <w:pPr>
        <w:pStyle w:val="65"/>
        <w:rPr>
          <w:rFonts w:asciiTheme="majorEastAsia" w:hAnsiTheme="majorEastAsia" w:eastAsiaTheme="majorEastAsia"/>
        </w:rPr>
      </w:pPr>
    </w:p>
    <w:p>
      <w:pPr>
        <w:pStyle w:val="65"/>
        <w:rPr>
          <w:rFonts w:asciiTheme="majorEastAsia" w:hAnsiTheme="majorEastAsia" w:eastAsiaTheme="majorEastAsia"/>
        </w:rPr>
      </w:pPr>
    </w:p>
    <w:p>
      <w:pPr>
        <w:pStyle w:val="3"/>
        <w:widowControl/>
        <w:spacing w:before="0" w:after="0" w:line="360" w:lineRule="auto"/>
        <w:jc w:val="center"/>
        <w:rPr>
          <w:rFonts w:asciiTheme="majorEastAsia" w:hAnsiTheme="majorEastAsia" w:eastAsiaTheme="majorEastAsia"/>
          <w:sz w:val="30"/>
          <w:szCs w:val="30"/>
        </w:rPr>
      </w:pPr>
    </w:p>
    <w:p>
      <w:pPr>
        <w:pStyle w:val="3"/>
        <w:widowControl/>
        <w:spacing w:before="0" w:after="0" w:line="360" w:lineRule="auto"/>
        <w:jc w:val="center"/>
        <w:rPr>
          <w:rFonts w:asciiTheme="majorEastAsia" w:hAnsiTheme="majorEastAsia" w:eastAsiaTheme="majorEastAsia"/>
          <w:sz w:val="30"/>
          <w:szCs w:val="30"/>
        </w:rPr>
      </w:pPr>
    </w:p>
    <w:p>
      <w:pPr>
        <w:pStyle w:val="3"/>
        <w:widowControl/>
        <w:spacing w:before="0" w:after="0" w:line="360" w:lineRule="auto"/>
        <w:jc w:val="center"/>
        <w:rPr>
          <w:rFonts w:asciiTheme="majorEastAsia" w:hAnsiTheme="majorEastAsia" w:eastAsiaTheme="majorEastAsia"/>
          <w:sz w:val="30"/>
          <w:szCs w:val="30"/>
        </w:rPr>
      </w:pPr>
    </w:p>
    <w:p/>
    <w:p>
      <w:pPr>
        <w:pStyle w:val="65"/>
      </w:pPr>
    </w:p>
    <w:p>
      <w:pPr>
        <w:pStyle w:val="65"/>
      </w:pPr>
    </w:p>
    <w:p>
      <w:pPr>
        <w:pStyle w:val="65"/>
      </w:pPr>
    </w:p>
    <w:p>
      <w:pPr>
        <w:pStyle w:val="65"/>
      </w:pPr>
    </w:p>
    <w:p>
      <w:pPr>
        <w:pStyle w:val="65"/>
      </w:pPr>
    </w:p>
    <w:p>
      <w:pPr>
        <w:pStyle w:val="65"/>
      </w:pPr>
    </w:p>
    <w:p>
      <w:pPr>
        <w:pStyle w:val="65"/>
      </w:pPr>
    </w:p>
    <w:p>
      <w:pPr>
        <w:pStyle w:val="65"/>
      </w:pPr>
    </w:p>
    <w:p>
      <w:pPr>
        <w:rPr>
          <w:rFonts w:asciiTheme="majorEastAsia" w:hAnsiTheme="majorEastAsia" w:eastAsiaTheme="majorEastAsia"/>
        </w:rPr>
      </w:pPr>
    </w:p>
    <w:p>
      <w:pPr>
        <w:pStyle w:val="3"/>
        <w:widowControl/>
        <w:spacing w:before="0" w:after="0" w:line="360" w:lineRule="auto"/>
        <w:jc w:val="center"/>
        <w:rPr>
          <w:rFonts w:cs="宋体" w:asciiTheme="majorEastAsia" w:hAnsiTheme="majorEastAsia" w:eastAsiaTheme="majorEastAsia"/>
        </w:rPr>
      </w:pPr>
      <w:r>
        <w:rPr>
          <w:rFonts w:hint="eastAsia" w:asciiTheme="majorEastAsia" w:hAnsiTheme="majorEastAsia" w:eastAsiaTheme="majorEastAsia"/>
          <w:sz w:val="30"/>
          <w:szCs w:val="30"/>
        </w:rPr>
        <w:t>第五章</w:t>
      </w:r>
      <w:r>
        <w:rPr>
          <w:rFonts w:hint="eastAsia" w:cs="宋体" w:asciiTheme="majorEastAsia" w:hAnsiTheme="majorEastAsia" w:eastAsiaTheme="majorEastAsia"/>
        </w:rPr>
        <w:t xml:space="preserve"> </w:t>
      </w:r>
      <w:r>
        <w:rPr>
          <w:rFonts w:hint="eastAsia" w:asciiTheme="majorEastAsia" w:hAnsiTheme="majorEastAsia" w:eastAsiaTheme="majorEastAsia"/>
          <w:sz w:val="30"/>
          <w:szCs w:val="30"/>
        </w:rPr>
        <w:t xml:space="preserve"> 履约验收</w:t>
      </w:r>
      <w:bookmarkEnd w:id="19"/>
      <w:bookmarkEnd w:id="20"/>
    </w:p>
    <w:p>
      <w:pPr>
        <w:spacing w:line="360" w:lineRule="auto"/>
        <w:ind w:firstLine="57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一、根据《中华人民共和国政府采购法》第四十一条规定，采购人或者其委托的采购代理机构应当组织对供应商履约的验收。大型或者复杂的政府采购项目，应当邀请国家认可的质量检测机构参加验收工作。验收方成员应当在验收书上签字，并承担相应的法律责任。</w:t>
      </w:r>
    </w:p>
    <w:p>
      <w:pPr>
        <w:spacing w:line="360" w:lineRule="auto"/>
        <w:ind w:firstLine="57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二、根据《中华人民共和国政府采购法实施条例》第四十五条规定，采购人或者采购代理机构应当按照政府采购合同规定的技术、服务、安全标准组织对供应商履约情况进行验收，并出具验收书。验收书应当包括每一项技术、服务、安全标准的履约情况。</w:t>
      </w:r>
    </w:p>
    <w:p>
      <w:pPr>
        <w:spacing w:line="360" w:lineRule="auto"/>
        <w:ind w:firstLine="480" w:firstLineChars="200"/>
        <w:rPr>
          <w:rFonts w:asciiTheme="majorEastAsia" w:hAnsiTheme="majorEastAsia" w:eastAsiaTheme="majorEastAsia"/>
          <w:sz w:val="24"/>
        </w:rPr>
      </w:pPr>
      <w:r>
        <w:rPr>
          <w:rFonts w:hint="eastAsia" w:cs="宋体" w:asciiTheme="majorEastAsia" w:hAnsiTheme="majorEastAsia" w:eastAsiaTheme="majorEastAsia"/>
          <w:kern w:val="1"/>
          <w:sz w:val="24"/>
        </w:rPr>
        <w:t>政府向社会公众提供的公共服务项目，验收时应当邀请服务对象参与并出具意见，验收结果应当向社会公告。</w:t>
      </w:r>
    </w:p>
    <w:p>
      <w:pPr>
        <w:spacing w:line="360" w:lineRule="auto"/>
        <w:ind w:firstLine="57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三、根据《山东省政府采购履约验收管理暂行办法》第六条规定，采购人是政府采购项目履约验收工作（以下简称“项目验收”）的责任主体。采购人应当加强内控管理，明确验收机制，履行验收义务，确定验收结论，及时处理项目验收中发现的问题，向财政部门反映供应商违约失信行为。</w:t>
      </w:r>
    </w:p>
    <w:p>
      <w:pPr>
        <w:spacing w:line="360" w:lineRule="auto"/>
        <w:ind w:firstLine="57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四、根据《山东省政府采购履约验收管理暂行办法》第二十九条规定，供应商存在下列行为的，纳入诚信记录：</w:t>
      </w:r>
    </w:p>
    <w:p>
      <w:pPr>
        <w:spacing w:line="360" w:lineRule="auto"/>
        <w:ind w:firstLine="57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1、无正当理由放弃采购合同履约的；</w:t>
      </w:r>
    </w:p>
    <w:p>
      <w:pPr>
        <w:spacing w:line="360" w:lineRule="auto"/>
        <w:ind w:firstLine="57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2、不履行合同义务，情节严重的；</w:t>
      </w:r>
    </w:p>
    <w:p>
      <w:pPr>
        <w:spacing w:line="360" w:lineRule="auto"/>
        <w:ind w:firstLine="57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3、在数量、质量、技术、服务、安全、标准、功能、工艺等方面不符合采购合同约定，给采购人造成较大损失或者影响的；</w:t>
      </w:r>
    </w:p>
    <w:p>
      <w:pPr>
        <w:spacing w:line="360" w:lineRule="auto"/>
        <w:ind w:firstLine="57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4、因履约问题影响采购项目功能实现又拒不纠正的；</w:t>
      </w:r>
    </w:p>
    <w:p>
      <w:pPr>
        <w:spacing w:line="360" w:lineRule="auto"/>
        <w:ind w:firstLine="57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5、与采购人工作人员或者验收小组成员串通，实施虚假履约验收的；</w:t>
      </w:r>
    </w:p>
    <w:p>
      <w:pPr>
        <w:spacing w:line="360" w:lineRule="auto"/>
        <w:ind w:firstLine="57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6、其他损害公共利益、采购人利益、第三方权益且情节较重的。</w:t>
      </w:r>
    </w:p>
    <w:p>
      <w:pPr>
        <w:spacing w:line="360" w:lineRule="auto"/>
        <w:ind w:firstLine="57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五、根据《山东省政府采购履约验收管理暂行办法》第三十条规定，采购人存在下列行为的，纳入诚信记录：</w:t>
      </w:r>
    </w:p>
    <w:p>
      <w:pPr>
        <w:spacing w:line="360" w:lineRule="auto"/>
        <w:ind w:firstLine="480" w:firstLineChars="20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1、不履行验收义务且拒不纠正的；</w:t>
      </w:r>
    </w:p>
    <w:p>
      <w:pPr>
        <w:spacing w:line="360" w:lineRule="auto"/>
        <w:ind w:firstLine="480" w:firstLineChars="20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2、未按规定要求组织项目验收的；</w:t>
      </w:r>
    </w:p>
    <w:p>
      <w:pPr>
        <w:spacing w:line="360" w:lineRule="auto"/>
        <w:ind w:firstLine="480" w:firstLineChars="20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3、与供应商串通，实施虚假履约验收的；</w:t>
      </w:r>
    </w:p>
    <w:p>
      <w:pPr>
        <w:spacing w:line="360" w:lineRule="auto"/>
        <w:ind w:firstLine="480" w:firstLineChars="20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4、履约验收机制不完善、责任不落实且造成较大经济损失或者影响的；</w:t>
      </w:r>
    </w:p>
    <w:p>
      <w:pPr>
        <w:spacing w:line="360" w:lineRule="auto"/>
        <w:ind w:firstLine="480" w:firstLineChars="20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5、发现问题不及时处理，造成较大经济损失或者严重影响政府公信力的；</w:t>
      </w:r>
    </w:p>
    <w:p>
      <w:pPr>
        <w:spacing w:line="360" w:lineRule="auto"/>
        <w:ind w:firstLine="480" w:firstLineChars="20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6、其他违反法律、法规、纪律行为。</w:t>
      </w:r>
    </w:p>
    <w:p>
      <w:pPr>
        <w:spacing w:line="360" w:lineRule="auto"/>
        <w:ind w:firstLine="570"/>
        <w:rPr>
          <w:rFonts w:cs="宋体" w:asciiTheme="majorEastAsia" w:hAnsiTheme="majorEastAsia" w:eastAsiaTheme="majorEastAsia"/>
          <w:kern w:val="1"/>
          <w:sz w:val="24"/>
        </w:rPr>
      </w:pPr>
      <w:r>
        <w:rPr>
          <w:rFonts w:hint="eastAsia" w:cs="宋体" w:asciiTheme="majorEastAsia" w:hAnsiTheme="majorEastAsia" w:eastAsiaTheme="majorEastAsia"/>
          <w:kern w:val="1"/>
          <w:sz w:val="24"/>
        </w:rPr>
        <w:t>六、根据《山东省政府采购履约验收管理暂行办法》第三十三条规定，采购人、采购代理机构、验收小组、供应商在项目验收过程中，存在违法违规行为的，依据《中华人民共和国政府采购法》及实施条例等有关法律法规的规定进行处理。给他人造成损失的，应当赔偿相应损失；构成犯罪的，依法移送司法机关处理。影响公共利益或者采购人权益，但法律法规及部门规章没有规定的，由财政部门予以约谈，责令改正，并根据信用管理规定予以记录、公告。</w:t>
      </w:r>
    </w:p>
    <w:p>
      <w:pPr>
        <w:rPr>
          <w:rFonts w:cs="宋体" w:asciiTheme="majorEastAsia" w:hAnsiTheme="majorEastAsia" w:eastAsiaTheme="majorEastAsia"/>
          <w:b/>
          <w:bCs/>
          <w:sz w:val="28"/>
          <w:szCs w:val="28"/>
        </w:rPr>
      </w:pPr>
    </w:p>
    <w:p>
      <w:pPr>
        <w:rPr>
          <w:rFonts w:cs="宋体" w:asciiTheme="majorEastAsia" w:hAnsiTheme="majorEastAsia" w:eastAsiaTheme="majorEastAsia"/>
          <w:b/>
          <w:bCs/>
          <w:sz w:val="28"/>
          <w:szCs w:val="28"/>
        </w:rPr>
      </w:pPr>
    </w:p>
    <w:p>
      <w:pPr>
        <w:rPr>
          <w:rFonts w:cs="宋体" w:asciiTheme="majorEastAsia" w:hAnsiTheme="majorEastAsia" w:eastAsiaTheme="majorEastAsia"/>
          <w:b/>
          <w:bCs/>
          <w:sz w:val="28"/>
          <w:szCs w:val="28"/>
        </w:rPr>
      </w:pPr>
    </w:p>
    <w:p>
      <w:pPr>
        <w:rPr>
          <w:rFonts w:cs="宋体" w:asciiTheme="majorEastAsia" w:hAnsiTheme="majorEastAsia" w:eastAsiaTheme="majorEastAsia"/>
          <w:b/>
          <w:bCs/>
          <w:sz w:val="28"/>
          <w:szCs w:val="28"/>
        </w:rPr>
      </w:pPr>
    </w:p>
    <w:p>
      <w:pPr>
        <w:rPr>
          <w:rFonts w:cs="宋体" w:asciiTheme="majorEastAsia" w:hAnsiTheme="majorEastAsia" w:eastAsiaTheme="majorEastAsia"/>
          <w:b/>
          <w:bCs/>
          <w:sz w:val="28"/>
          <w:szCs w:val="28"/>
        </w:rPr>
      </w:pPr>
    </w:p>
    <w:p>
      <w:pPr>
        <w:rPr>
          <w:rFonts w:cs="宋体" w:asciiTheme="majorEastAsia" w:hAnsiTheme="majorEastAsia" w:eastAsiaTheme="majorEastAsia"/>
          <w:b/>
          <w:bCs/>
          <w:sz w:val="28"/>
          <w:szCs w:val="28"/>
        </w:rPr>
      </w:pPr>
    </w:p>
    <w:p>
      <w:pPr>
        <w:rPr>
          <w:rFonts w:cs="宋体" w:asciiTheme="majorEastAsia" w:hAnsiTheme="majorEastAsia" w:eastAsiaTheme="majorEastAsia"/>
          <w:b/>
          <w:bCs/>
          <w:sz w:val="28"/>
          <w:szCs w:val="28"/>
        </w:rPr>
      </w:pPr>
    </w:p>
    <w:p>
      <w:pPr>
        <w:rPr>
          <w:rFonts w:cs="宋体" w:asciiTheme="majorEastAsia" w:hAnsiTheme="majorEastAsia" w:eastAsiaTheme="majorEastAsia"/>
          <w:b/>
          <w:bCs/>
          <w:sz w:val="28"/>
          <w:szCs w:val="28"/>
        </w:rPr>
      </w:pPr>
    </w:p>
    <w:p>
      <w:pPr>
        <w:rPr>
          <w:rFonts w:cs="宋体" w:asciiTheme="majorEastAsia" w:hAnsiTheme="majorEastAsia" w:eastAsiaTheme="majorEastAsia"/>
          <w:b/>
          <w:bCs/>
          <w:sz w:val="28"/>
          <w:szCs w:val="28"/>
        </w:rPr>
      </w:pPr>
    </w:p>
    <w:p>
      <w:pPr>
        <w:rPr>
          <w:rFonts w:cs="宋体" w:asciiTheme="majorEastAsia" w:hAnsiTheme="majorEastAsia" w:eastAsiaTheme="majorEastAsia"/>
          <w:b/>
          <w:bCs/>
          <w:sz w:val="28"/>
          <w:szCs w:val="28"/>
        </w:rPr>
      </w:pPr>
    </w:p>
    <w:p>
      <w:pPr>
        <w:rPr>
          <w:rFonts w:cs="宋体" w:asciiTheme="majorEastAsia" w:hAnsiTheme="majorEastAsia" w:eastAsiaTheme="majorEastAsia"/>
          <w:b/>
          <w:bCs/>
          <w:sz w:val="28"/>
          <w:szCs w:val="28"/>
        </w:rPr>
      </w:pPr>
    </w:p>
    <w:p>
      <w:pPr>
        <w:rPr>
          <w:rFonts w:cs="宋体" w:asciiTheme="majorEastAsia" w:hAnsiTheme="majorEastAsia" w:eastAsiaTheme="majorEastAsia"/>
          <w:b/>
          <w:bCs/>
          <w:sz w:val="28"/>
          <w:szCs w:val="28"/>
        </w:rPr>
      </w:pPr>
    </w:p>
    <w:p>
      <w:pPr>
        <w:rPr>
          <w:rFonts w:cs="宋体" w:asciiTheme="majorEastAsia" w:hAnsiTheme="majorEastAsia" w:eastAsiaTheme="majorEastAsia"/>
          <w:b/>
          <w:bCs/>
          <w:sz w:val="28"/>
          <w:szCs w:val="28"/>
        </w:rPr>
      </w:pPr>
    </w:p>
    <w:p>
      <w:pPr>
        <w:pStyle w:val="55"/>
        <w:rPr>
          <w:rFonts w:asciiTheme="majorEastAsia" w:hAnsiTheme="majorEastAsia" w:eastAsiaTheme="majorEastAsia"/>
        </w:rPr>
      </w:pPr>
    </w:p>
    <w:p>
      <w:pPr>
        <w:pStyle w:val="55"/>
        <w:rPr>
          <w:rFonts w:asciiTheme="majorEastAsia" w:hAnsiTheme="majorEastAsia" w:eastAsiaTheme="majorEastAsia"/>
        </w:rPr>
      </w:pPr>
    </w:p>
    <w:p>
      <w:pPr>
        <w:pStyle w:val="55"/>
        <w:rPr>
          <w:rFonts w:asciiTheme="majorEastAsia" w:hAnsiTheme="majorEastAsia" w:eastAsiaTheme="majorEastAsia"/>
        </w:rPr>
      </w:pPr>
    </w:p>
    <w:p>
      <w:pPr>
        <w:pStyle w:val="55"/>
        <w:rPr>
          <w:rFonts w:asciiTheme="majorEastAsia" w:hAnsiTheme="majorEastAsia" w:eastAsiaTheme="majorEastAsia"/>
        </w:rPr>
      </w:pPr>
    </w:p>
    <w:p>
      <w:pPr>
        <w:pStyle w:val="55"/>
        <w:rPr>
          <w:rFonts w:asciiTheme="majorEastAsia" w:hAnsiTheme="majorEastAsia" w:eastAsiaTheme="majorEastAsia"/>
        </w:rPr>
      </w:pPr>
    </w:p>
    <w:p>
      <w:pPr>
        <w:pStyle w:val="55"/>
        <w:rPr>
          <w:rFonts w:asciiTheme="majorEastAsia" w:hAnsiTheme="majorEastAsia" w:eastAsiaTheme="majorEastAsia"/>
        </w:rPr>
      </w:pPr>
    </w:p>
    <w:p>
      <w:pPr>
        <w:pStyle w:val="55"/>
        <w:rPr>
          <w:rFonts w:asciiTheme="majorEastAsia" w:hAnsiTheme="majorEastAsia" w:eastAsiaTheme="majorEastAsia"/>
        </w:rPr>
      </w:pPr>
    </w:p>
    <w:p>
      <w:pPr>
        <w:pStyle w:val="55"/>
        <w:rPr>
          <w:rFonts w:asciiTheme="majorEastAsia" w:hAnsiTheme="majorEastAsia" w:eastAsiaTheme="majorEastAsia"/>
        </w:rPr>
      </w:pPr>
    </w:p>
    <w:p>
      <w:pPr>
        <w:pStyle w:val="55"/>
        <w:rPr>
          <w:rFonts w:asciiTheme="majorEastAsia" w:hAnsiTheme="majorEastAsia" w:eastAsiaTheme="majorEastAsia"/>
        </w:rPr>
      </w:pPr>
    </w:p>
    <w:p>
      <w:pPr>
        <w:pStyle w:val="55"/>
        <w:rPr>
          <w:rFonts w:asciiTheme="majorEastAsia" w:hAnsiTheme="majorEastAsia" w:eastAsiaTheme="majorEastAsia"/>
        </w:rPr>
      </w:pPr>
    </w:p>
    <w:p>
      <w:pPr>
        <w:pStyle w:val="55"/>
        <w:rPr>
          <w:rFonts w:asciiTheme="majorEastAsia" w:hAnsiTheme="majorEastAsia" w:eastAsiaTheme="majorEastAsia"/>
        </w:rPr>
      </w:pPr>
    </w:p>
    <w:p>
      <w:pPr>
        <w:pStyle w:val="55"/>
        <w:rPr>
          <w:rFonts w:asciiTheme="majorEastAsia" w:hAnsiTheme="majorEastAsia" w:eastAsiaTheme="majorEastAsia"/>
        </w:rPr>
      </w:pPr>
    </w:p>
    <w:p>
      <w:pPr>
        <w:pStyle w:val="55"/>
        <w:ind w:left="0" w:leftChars="0" w:firstLine="0" w:firstLineChars="0"/>
        <w:rPr>
          <w:rFonts w:asciiTheme="majorEastAsia" w:hAnsiTheme="majorEastAsia" w:eastAsiaTheme="majorEastAsia"/>
        </w:rPr>
      </w:pPr>
    </w:p>
    <w:p>
      <w:pPr>
        <w:rPr>
          <w:rFonts w:cs="宋体" w:asciiTheme="majorEastAsia" w:hAnsiTheme="majorEastAsia" w:eastAsiaTheme="majorEastAsia"/>
          <w:sz w:val="24"/>
        </w:rPr>
      </w:pPr>
      <w:r>
        <w:rPr>
          <w:rFonts w:hint="eastAsia" w:cs="宋体" w:asciiTheme="majorEastAsia" w:hAnsiTheme="majorEastAsia" w:eastAsiaTheme="majorEastAsia"/>
          <w:sz w:val="24"/>
        </w:rPr>
        <w:t>附件1</w:t>
      </w:r>
    </w:p>
    <w:p>
      <w:pPr>
        <w:jc w:val="center"/>
        <w:rPr>
          <w:rFonts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政府采购验收通知单</w:t>
      </w:r>
    </w:p>
    <w:p>
      <w:pPr>
        <w:ind w:firstLine="480" w:firstLineChars="200"/>
        <w:jc w:val="left"/>
        <w:rPr>
          <w:rFonts w:cs="宋体" w:asciiTheme="majorEastAsia" w:hAnsiTheme="majorEastAsia" w:eastAsiaTheme="majorEastAsia"/>
          <w:sz w:val="24"/>
        </w:rPr>
      </w:pPr>
    </w:p>
    <w:p>
      <w:pPr>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供应商：</w:t>
      </w:r>
    </w:p>
    <w:tbl>
      <w:tblPr>
        <w:tblStyle w:val="5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980"/>
        <w:gridCol w:w="21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Pr>
          <w:p>
            <w:pPr>
              <w:spacing w:line="60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采购单位</w:t>
            </w:r>
          </w:p>
        </w:tc>
        <w:tc>
          <w:tcPr>
            <w:tcW w:w="6480" w:type="dxa"/>
            <w:gridSpan w:val="3"/>
          </w:tcPr>
          <w:p>
            <w:pPr>
              <w:spacing w:line="600" w:lineRule="exact"/>
              <w:jc w:val="center"/>
              <w:rPr>
                <w:rFonts w:cs="宋体"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Pr>
          <w:p>
            <w:pPr>
              <w:spacing w:line="60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项目名称</w:t>
            </w:r>
          </w:p>
        </w:tc>
        <w:tc>
          <w:tcPr>
            <w:tcW w:w="6480" w:type="dxa"/>
            <w:gridSpan w:val="3"/>
          </w:tcPr>
          <w:p>
            <w:pPr>
              <w:spacing w:line="600" w:lineRule="exact"/>
              <w:jc w:val="center"/>
              <w:rPr>
                <w:rFonts w:cs="宋体"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Pr>
          <w:p>
            <w:pPr>
              <w:spacing w:line="60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合同名称</w:t>
            </w:r>
          </w:p>
        </w:tc>
        <w:tc>
          <w:tcPr>
            <w:tcW w:w="6480" w:type="dxa"/>
            <w:gridSpan w:val="3"/>
          </w:tcPr>
          <w:p>
            <w:pPr>
              <w:spacing w:line="600" w:lineRule="exact"/>
              <w:jc w:val="center"/>
              <w:rPr>
                <w:rFonts w:cs="宋体"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8" w:type="dxa"/>
          </w:tcPr>
          <w:p>
            <w:pPr>
              <w:spacing w:line="60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合同编号</w:t>
            </w:r>
          </w:p>
        </w:tc>
        <w:tc>
          <w:tcPr>
            <w:tcW w:w="1980" w:type="dxa"/>
          </w:tcPr>
          <w:p>
            <w:pPr>
              <w:spacing w:line="600" w:lineRule="exact"/>
              <w:jc w:val="center"/>
              <w:rPr>
                <w:rFonts w:cs="宋体" w:asciiTheme="majorEastAsia" w:hAnsiTheme="majorEastAsia" w:eastAsiaTheme="majorEastAsia"/>
                <w:sz w:val="24"/>
              </w:rPr>
            </w:pPr>
          </w:p>
        </w:tc>
        <w:tc>
          <w:tcPr>
            <w:tcW w:w="2160" w:type="dxa"/>
          </w:tcPr>
          <w:p>
            <w:pPr>
              <w:spacing w:line="60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合同金额</w:t>
            </w:r>
          </w:p>
        </w:tc>
        <w:tc>
          <w:tcPr>
            <w:tcW w:w="2340" w:type="dxa"/>
          </w:tcPr>
          <w:p>
            <w:pPr>
              <w:spacing w:line="600" w:lineRule="exact"/>
              <w:jc w:val="center"/>
              <w:rPr>
                <w:rFonts w:cs="宋体"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8" w:type="dxa"/>
          </w:tcPr>
          <w:p>
            <w:pPr>
              <w:spacing w:line="60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验收时间</w:t>
            </w:r>
          </w:p>
        </w:tc>
        <w:tc>
          <w:tcPr>
            <w:tcW w:w="1980" w:type="dxa"/>
          </w:tcPr>
          <w:p>
            <w:pPr>
              <w:spacing w:line="600" w:lineRule="exact"/>
              <w:jc w:val="center"/>
              <w:rPr>
                <w:rFonts w:cs="宋体" w:asciiTheme="majorEastAsia" w:hAnsiTheme="majorEastAsia" w:eastAsiaTheme="majorEastAsia"/>
                <w:sz w:val="24"/>
              </w:rPr>
            </w:pPr>
          </w:p>
        </w:tc>
        <w:tc>
          <w:tcPr>
            <w:tcW w:w="2160" w:type="dxa"/>
          </w:tcPr>
          <w:p>
            <w:pPr>
              <w:spacing w:line="60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验收地点</w:t>
            </w:r>
          </w:p>
        </w:tc>
        <w:tc>
          <w:tcPr>
            <w:tcW w:w="2340" w:type="dxa"/>
          </w:tcPr>
          <w:p>
            <w:pPr>
              <w:spacing w:line="600" w:lineRule="exact"/>
              <w:jc w:val="center"/>
              <w:rPr>
                <w:rFonts w:cs="宋体"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8" w:type="dxa"/>
          </w:tcPr>
          <w:p>
            <w:pPr>
              <w:spacing w:line="60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联系人</w:t>
            </w:r>
          </w:p>
        </w:tc>
        <w:tc>
          <w:tcPr>
            <w:tcW w:w="1980" w:type="dxa"/>
          </w:tcPr>
          <w:p>
            <w:pPr>
              <w:spacing w:line="600" w:lineRule="exact"/>
              <w:jc w:val="center"/>
              <w:rPr>
                <w:rFonts w:cs="宋体" w:asciiTheme="majorEastAsia" w:hAnsiTheme="majorEastAsia" w:eastAsiaTheme="majorEastAsia"/>
                <w:sz w:val="24"/>
              </w:rPr>
            </w:pPr>
          </w:p>
        </w:tc>
        <w:tc>
          <w:tcPr>
            <w:tcW w:w="2160" w:type="dxa"/>
          </w:tcPr>
          <w:p>
            <w:pPr>
              <w:spacing w:line="60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联系电话</w:t>
            </w:r>
          </w:p>
        </w:tc>
        <w:tc>
          <w:tcPr>
            <w:tcW w:w="2340" w:type="dxa"/>
          </w:tcPr>
          <w:p>
            <w:pPr>
              <w:spacing w:line="600" w:lineRule="exact"/>
              <w:jc w:val="center"/>
              <w:rPr>
                <w:rFonts w:cs="宋体"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108" w:type="dxa"/>
            <w:gridSpan w:val="4"/>
          </w:tcPr>
          <w:p>
            <w:pPr>
              <w:spacing w:line="60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验收方案及工作要求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4" w:hRule="atLeast"/>
          <w:jc w:val="center"/>
        </w:trPr>
        <w:tc>
          <w:tcPr>
            <w:tcW w:w="9108" w:type="dxa"/>
            <w:gridSpan w:val="4"/>
          </w:tcPr>
          <w:p>
            <w:pPr>
              <w:jc w:val="center"/>
              <w:rPr>
                <w:rFonts w:cs="宋体" w:asciiTheme="majorEastAsia" w:hAnsiTheme="majorEastAsia" w:eastAsiaTheme="majorEastAsia"/>
                <w:sz w:val="24"/>
              </w:rPr>
            </w:pPr>
          </w:p>
          <w:p>
            <w:pPr>
              <w:jc w:val="center"/>
              <w:rPr>
                <w:rFonts w:cs="宋体" w:asciiTheme="majorEastAsia" w:hAnsiTheme="majorEastAsia" w:eastAsiaTheme="majorEastAsia"/>
                <w:sz w:val="24"/>
              </w:rPr>
            </w:pPr>
          </w:p>
          <w:p>
            <w:pPr>
              <w:jc w:val="center"/>
              <w:rPr>
                <w:rFonts w:cs="宋体" w:asciiTheme="majorEastAsia" w:hAnsiTheme="majorEastAsia" w:eastAsiaTheme="majorEastAsia"/>
                <w:sz w:val="24"/>
              </w:rPr>
            </w:pPr>
          </w:p>
          <w:p>
            <w:pPr>
              <w:jc w:val="center"/>
              <w:rPr>
                <w:rFonts w:cs="宋体" w:asciiTheme="majorEastAsia" w:hAnsiTheme="majorEastAsia" w:eastAsiaTheme="majorEastAsia"/>
                <w:sz w:val="24"/>
              </w:rPr>
            </w:pPr>
          </w:p>
          <w:p>
            <w:pPr>
              <w:jc w:val="center"/>
              <w:rPr>
                <w:rFonts w:cs="宋体" w:asciiTheme="majorEastAsia" w:hAnsiTheme="majorEastAsia" w:eastAsiaTheme="majorEastAsia"/>
                <w:sz w:val="24"/>
              </w:rPr>
            </w:pPr>
          </w:p>
          <w:p>
            <w:pPr>
              <w:pStyle w:val="55"/>
              <w:ind w:left="0" w:leftChars="0"/>
              <w:jc w:val="center"/>
              <w:rPr>
                <w:rFonts w:cs="宋体" w:asciiTheme="majorEastAsia" w:hAnsiTheme="majorEastAsia" w:eastAsiaTheme="majorEastAsia"/>
                <w:szCs w:val="24"/>
              </w:rPr>
            </w:pPr>
          </w:p>
          <w:p>
            <w:pPr>
              <w:pStyle w:val="55"/>
              <w:jc w:val="center"/>
              <w:rPr>
                <w:rFonts w:cs="宋体" w:asciiTheme="majorEastAsia" w:hAnsiTheme="majorEastAsia" w:eastAsiaTheme="majorEastAsia"/>
                <w:szCs w:val="24"/>
              </w:rPr>
            </w:pPr>
          </w:p>
          <w:p>
            <w:pPr>
              <w:pStyle w:val="55"/>
              <w:jc w:val="center"/>
              <w:rPr>
                <w:rFonts w:cs="宋体" w:asciiTheme="majorEastAsia" w:hAnsiTheme="majorEastAsia" w:eastAsiaTheme="majorEastAsia"/>
                <w:szCs w:val="24"/>
              </w:rPr>
            </w:pPr>
          </w:p>
          <w:p>
            <w:pPr>
              <w:jc w:val="center"/>
              <w:rPr>
                <w:rFonts w:cs="宋体" w:asciiTheme="majorEastAsia" w:hAnsiTheme="majorEastAsia" w:eastAsiaTheme="majorEastAsia"/>
                <w:sz w:val="24"/>
              </w:rPr>
            </w:pPr>
          </w:p>
          <w:p>
            <w:pPr>
              <w:jc w:val="center"/>
              <w:rPr>
                <w:rFonts w:cs="宋体" w:asciiTheme="majorEastAsia" w:hAnsiTheme="majorEastAsia" w:eastAsiaTheme="majorEastAsia"/>
                <w:sz w:val="24"/>
              </w:rPr>
            </w:pPr>
          </w:p>
          <w:p>
            <w:pPr>
              <w:jc w:val="center"/>
              <w:rPr>
                <w:rFonts w:cs="宋体" w:asciiTheme="majorEastAsia" w:hAnsiTheme="majorEastAsia" w:eastAsiaTheme="majorEastAsia"/>
                <w:sz w:val="24"/>
              </w:rPr>
            </w:pPr>
          </w:p>
          <w:p>
            <w:pPr>
              <w:jc w:val="center"/>
              <w:rPr>
                <w:rFonts w:cs="宋体" w:asciiTheme="majorEastAsia" w:hAnsiTheme="majorEastAsia" w:eastAsiaTheme="majorEastAsia"/>
                <w:sz w:val="24"/>
              </w:rPr>
            </w:pPr>
          </w:p>
          <w:p>
            <w:pPr>
              <w:jc w:val="center"/>
              <w:rPr>
                <w:rFonts w:cs="宋体" w:asciiTheme="majorEastAsia" w:hAnsiTheme="majorEastAsia" w:eastAsiaTheme="majorEastAsia"/>
                <w:sz w:val="24"/>
              </w:rPr>
            </w:pPr>
          </w:p>
          <w:p>
            <w:pPr>
              <w:jc w:val="center"/>
              <w:rPr>
                <w:rFonts w:cs="宋体" w:asciiTheme="majorEastAsia" w:hAnsiTheme="majorEastAsia" w:eastAsiaTheme="majorEastAsia"/>
                <w:sz w:val="24"/>
              </w:rPr>
            </w:pPr>
          </w:p>
          <w:p>
            <w:pPr>
              <w:jc w:val="center"/>
              <w:rPr>
                <w:rFonts w:cs="宋体" w:asciiTheme="majorEastAsia" w:hAnsiTheme="majorEastAsia" w:eastAsiaTheme="majorEastAsia"/>
                <w:sz w:val="24"/>
              </w:rPr>
            </w:pPr>
          </w:p>
          <w:p>
            <w:pPr>
              <w:jc w:val="center"/>
              <w:rPr>
                <w:rFonts w:cs="宋体" w:asciiTheme="majorEastAsia" w:hAnsiTheme="majorEastAsia" w:eastAsiaTheme="majorEastAsia"/>
                <w:sz w:val="24"/>
              </w:rPr>
            </w:pPr>
          </w:p>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 xml:space="preserve">                                            组织实施单位公章</w:t>
            </w:r>
          </w:p>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 xml:space="preserve">                                            年  月  日</w:t>
            </w:r>
          </w:p>
          <w:p>
            <w:pPr>
              <w:spacing w:line="360" w:lineRule="exact"/>
              <w:jc w:val="center"/>
              <w:rPr>
                <w:rFonts w:cs="宋体" w:asciiTheme="majorEastAsia" w:hAnsiTheme="majorEastAsia" w:eastAsiaTheme="majorEastAsia"/>
                <w:sz w:val="24"/>
              </w:rPr>
            </w:pPr>
          </w:p>
        </w:tc>
      </w:tr>
    </w:tbl>
    <w:p>
      <w:pPr>
        <w:spacing w:line="420" w:lineRule="exact"/>
        <w:rPr>
          <w:rFonts w:asciiTheme="majorEastAsia" w:hAnsiTheme="majorEastAsia" w:eastAsiaTheme="majorEastAsia"/>
          <w:sz w:val="32"/>
        </w:rPr>
      </w:pPr>
    </w:p>
    <w:p>
      <w:pPr>
        <w:spacing w:line="420" w:lineRule="exact"/>
        <w:rPr>
          <w:rFonts w:asciiTheme="majorEastAsia" w:hAnsiTheme="majorEastAsia" w:eastAsiaTheme="majorEastAsia"/>
          <w:sz w:val="32"/>
        </w:rPr>
      </w:pPr>
    </w:p>
    <w:p>
      <w:pPr>
        <w:spacing w:line="420" w:lineRule="exact"/>
        <w:rPr>
          <w:rFonts w:asciiTheme="majorEastAsia" w:hAnsiTheme="majorEastAsia" w:eastAsiaTheme="majorEastAsia"/>
          <w:sz w:val="32"/>
        </w:rPr>
      </w:pPr>
    </w:p>
    <w:p>
      <w:pPr>
        <w:spacing w:line="420" w:lineRule="exact"/>
        <w:rPr>
          <w:rFonts w:asciiTheme="majorEastAsia" w:hAnsiTheme="majorEastAsia" w:eastAsiaTheme="majorEastAsia"/>
          <w:sz w:val="32"/>
        </w:rPr>
      </w:pPr>
    </w:p>
    <w:p>
      <w:pPr>
        <w:spacing w:line="420" w:lineRule="exact"/>
        <w:rPr>
          <w:rFonts w:cs="宋体" w:asciiTheme="majorEastAsia" w:hAnsiTheme="majorEastAsia" w:eastAsiaTheme="majorEastAsia"/>
          <w:sz w:val="24"/>
        </w:rPr>
      </w:pPr>
      <w:r>
        <w:rPr>
          <w:rFonts w:hint="eastAsia" w:cs="宋体" w:asciiTheme="majorEastAsia" w:hAnsiTheme="majorEastAsia" w:eastAsiaTheme="majorEastAsia"/>
          <w:sz w:val="24"/>
        </w:rPr>
        <w:t>附件2-2</w:t>
      </w:r>
    </w:p>
    <w:p>
      <w:pPr>
        <w:spacing w:before="156" w:beforeLines="50" w:after="156" w:afterLines="50" w:line="460" w:lineRule="exact"/>
        <w:jc w:val="center"/>
        <w:rPr>
          <w:rFonts w:hint="eastAsia" w:ascii="宋体" w:hAnsi="宋体"/>
          <w:b/>
          <w:sz w:val="44"/>
          <w:szCs w:val="44"/>
        </w:rPr>
      </w:pPr>
      <w:r>
        <w:rPr>
          <w:rFonts w:hint="eastAsia"/>
          <w:b/>
          <w:sz w:val="44"/>
          <w:szCs w:val="44"/>
        </w:rPr>
        <w:t>政府采购</w:t>
      </w:r>
      <w:r>
        <w:rPr>
          <w:rFonts w:hint="eastAsia" w:ascii="宋体" w:hAnsi="宋体"/>
          <w:b/>
          <w:sz w:val="44"/>
          <w:szCs w:val="44"/>
        </w:rPr>
        <w:t>履约验收书参考样本</w:t>
      </w:r>
    </w:p>
    <w:tbl>
      <w:tblPr>
        <w:tblStyle w:val="56"/>
        <w:tblW w:w="5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1324"/>
        <w:gridCol w:w="1371"/>
        <w:gridCol w:w="474"/>
        <w:gridCol w:w="950"/>
        <w:gridCol w:w="1211"/>
        <w:gridCol w:w="217"/>
        <w:gridCol w:w="115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73" w:type="pct"/>
            <w:noWrap w:val="0"/>
            <w:vAlign w:val="center"/>
          </w:tcPr>
          <w:p>
            <w:pPr>
              <w:spacing w:line="280" w:lineRule="exact"/>
              <w:jc w:val="center"/>
              <w:rPr>
                <w:rFonts w:hint="eastAsia" w:ascii="宋体" w:hAnsi="宋体"/>
                <w:sz w:val="24"/>
                <w:szCs w:val="24"/>
              </w:rPr>
            </w:pPr>
            <w:r>
              <w:rPr>
                <w:rFonts w:hint="eastAsia" w:ascii="宋体" w:hAnsi="宋体"/>
                <w:sz w:val="24"/>
                <w:szCs w:val="24"/>
              </w:rPr>
              <w:t>采购单位</w:t>
            </w:r>
          </w:p>
        </w:tc>
        <w:tc>
          <w:tcPr>
            <w:tcW w:w="670" w:type="pct"/>
            <w:noWrap w:val="0"/>
            <w:vAlign w:val="center"/>
          </w:tcPr>
          <w:p>
            <w:pPr>
              <w:spacing w:line="280" w:lineRule="exact"/>
              <w:jc w:val="center"/>
              <w:rPr>
                <w:rFonts w:hint="eastAsia" w:ascii="宋体" w:hAnsi="宋体"/>
                <w:sz w:val="24"/>
                <w:szCs w:val="24"/>
              </w:rPr>
            </w:pPr>
          </w:p>
        </w:tc>
        <w:tc>
          <w:tcPr>
            <w:tcW w:w="694" w:type="pct"/>
            <w:noWrap w:val="0"/>
            <w:vAlign w:val="center"/>
          </w:tcPr>
          <w:p>
            <w:pPr>
              <w:spacing w:line="280" w:lineRule="exact"/>
              <w:jc w:val="center"/>
              <w:rPr>
                <w:rFonts w:hint="eastAsia" w:ascii="宋体" w:hAnsi="宋体"/>
                <w:sz w:val="24"/>
                <w:szCs w:val="24"/>
              </w:rPr>
            </w:pPr>
            <w:r>
              <w:rPr>
                <w:rFonts w:hint="eastAsia" w:ascii="宋体" w:hAnsi="宋体"/>
                <w:sz w:val="24"/>
                <w:szCs w:val="24"/>
              </w:rPr>
              <w:t>项目名称</w:t>
            </w:r>
          </w:p>
        </w:tc>
        <w:tc>
          <w:tcPr>
            <w:tcW w:w="721" w:type="pct"/>
            <w:gridSpan w:val="2"/>
            <w:noWrap w:val="0"/>
            <w:vAlign w:val="center"/>
          </w:tcPr>
          <w:p>
            <w:pPr>
              <w:spacing w:line="280" w:lineRule="exact"/>
              <w:jc w:val="center"/>
              <w:rPr>
                <w:rFonts w:hint="eastAsia" w:ascii="宋体" w:hAnsi="宋体"/>
                <w:sz w:val="24"/>
                <w:szCs w:val="24"/>
              </w:rPr>
            </w:pPr>
          </w:p>
        </w:tc>
        <w:tc>
          <w:tcPr>
            <w:tcW w:w="723" w:type="pct"/>
            <w:gridSpan w:val="2"/>
            <w:noWrap w:val="0"/>
            <w:vAlign w:val="center"/>
          </w:tcPr>
          <w:p>
            <w:pPr>
              <w:spacing w:line="280" w:lineRule="exact"/>
              <w:jc w:val="center"/>
              <w:rPr>
                <w:rFonts w:hint="eastAsia" w:ascii="宋体" w:hAnsi="宋体"/>
                <w:sz w:val="24"/>
                <w:szCs w:val="24"/>
              </w:rPr>
            </w:pPr>
            <w:r>
              <w:rPr>
                <w:rFonts w:hint="eastAsia" w:ascii="宋体" w:hAnsi="宋体"/>
                <w:sz w:val="24"/>
                <w:szCs w:val="24"/>
              </w:rPr>
              <w:t>合同名称</w:t>
            </w:r>
          </w:p>
        </w:tc>
        <w:tc>
          <w:tcPr>
            <w:tcW w:w="1317" w:type="pct"/>
            <w:gridSpan w:val="2"/>
            <w:noWrap w:val="0"/>
            <w:vAlign w:val="center"/>
          </w:tcPr>
          <w:p>
            <w:pPr>
              <w:spacing w:line="2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73" w:type="pct"/>
            <w:noWrap w:val="0"/>
            <w:vAlign w:val="center"/>
          </w:tcPr>
          <w:p>
            <w:pPr>
              <w:spacing w:line="280" w:lineRule="exact"/>
              <w:jc w:val="center"/>
              <w:rPr>
                <w:rFonts w:hint="eastAsia" w:ascii="宋体" w:hAnsi="宋体"/>
                <w:sz w:val="24"/>
                <w:szCs w:val="24"/>
              </w:rPr>
            </w:pPr>
            <w:r>
              <w:rPr>
                <w:rFonts w:hint="eastAsia" w:ascii="宋体" w:hAnsi="宋体"/>
                <w:sz w:val="24"/>
                <w:szCs w:val="24"/>
              </w:rPr>
              <w:t>供应商</w:t>
            </w:r>
          </w:p>
        </w:tc>
        <w:tc>
          <w:tcPr>
            <w:tcW w:w="670" w:type="pct"/>
            <w:noWrap w:val="0"/>
            <w:vAlign w:val="center"/>
          </w:tcPr>
          <w:p>
            <w:pPr>
              <w:spacing w:line="280" w:lineRule="exact"/>
              <w:jc w:val="center"/>
              <w:rPr>
                <w:rFonts w:hint="eastAsia" w:ascii="宋体" w:hAnsi="宋体"/>
                <w:sz w:val="24"/>
                <w:szCs w:val="24"/>
              </w:rPr>
            </w:pPr>
          </w:p>
        </w:tc>
        <w:tc>
          <w:tcPr>
            <w:tcW w:w="694" w:type="pct"/>
            <w:noWrap w:val="0"/>
            <w:vAlign w:val="center"/>
          </w:tcPr>
          <w:p>
            <w:pPr>
              <w:spacing w:line="280" w:lineRule="exact"/>
              <w:jc w:val="center"/>
              <w:rPr>
                <w:rFonts w:hint="eastAsia" w:ascii="宋体" w:hAnsi="宋体"/>
                <w:sz w:val="24"/>
                <w:szCs w:val="24"/>
              </w:rPr>
            </w:pPr>
            <w:r>
              <w:rPr>
                <w:rFonts w:hint="eastAsia" w:ascii="宋体" w:hAnsi="宋体"/>
                <w:sz w:val="24"/>
                <w:szCs w:val="24"/>
              </w:rPr>
              <w:t>项目及合同</w:t>
            </w:r>
          </w:p>
          <w:p>
            <w:pPr>
              <w:spacing w:line="280" w:lineRule="exact"/>
              <w:jc w:val="center"/>
              <w:rPr>
                <w:rFonts w:hint="eastAsia" w:ascii="宋体" w:hAnsi="宋体"/>
                <w:sz w:val="24"/>
                <w:szCs w:val="24"/>
              </w:rPr>
            </w:pPr>
            <w:r>
              <w:rPr>
                <w:rFonts w:hint="eastAsia" w:ascii="宋体" w:hAnsi="宋体"/>
                <w:sz w:val="24"/>
                <w:szCs w:val="24"/>
              </w:rPr>
              <w:t>编号</w:t>
            </w:r>
          </w:p>
        </w:tc>
        <w:tc>
          <w:tcPr>
            <w:tcW w:w="721" w:type="pct"/>
            <w:gridSpan w:val="2"/>
            <w:noWrap w:val="0"/>
            <w:vAlign w:val="center"/>
          </w:tcPr>
          <w:p>
            <w:pPr>
              <w:spacing w:line="280" w:lineRule="exact"/>
              <w:jc w:val="center"/>
              <w:rPr>
                <w:rFonts w:hint="eastAsia" w:ascii="宋体" w:hAnsi="宋体"/>
                <w:sz w:val="24"/>
                <w:szCs w:val="24"/>
              </w:rPr>
            </w:pPr>
          </w:p>
        </w:tc>
        <w:tc>
          <w:tcPr>
            <w:tcW w:w="723" w:type="pct"/>
            <w:gridSpan w:val="2"/>
            <w:noWrap w:val="0"/>
            <w:vAlign w:val="center"/>
          </w:tcPr>
          <w:p>
            <w:pPr>
              <w:spacing w:line="280" w:lineRule="exact"/>
              <w:jc w:val="center"/>
              <w:rPr>
                <w:rFonts w:hint="eastAsia" w:ascii="宋体" w:hAnsi="宋体"/>
                <w:sz w:val="24"/>
                <w:szCs w:val="24"/>
              </w:rPr>
            </w:pPr>
            <w:r>
              <w:rPr>
                <w:rFonts w:hint="eastAsia" w:ascii="宋体" w:hAnsi="宋体"/>
                <w:sz w:val="24"/>
                <w:szCs w:val="24"/>
              </w:rPr>
              <w:t>合同金额</w:t>
            </w:r>
          </w:p>
        </w:tc>
        <w:tc>
          <w:tcPr>
            <w:tcW w:w="1317" w:type="pct"/>
            <w:gridSpan w:val="2"/>
            <w:noWrap w:val="0"/>
            <w:vAlign w:val="center"/>
          </w:tcPr>
          <w:p>
            <w:pPr>
              <w:spacing w:line="2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3" w:type="pct"/>
            <w:noWrap w:val="0"/>
            <w:vAlign w:val="center"/>
          </w:tcPr>
          <w:p>
            <w:pPr>
              <w:spacing w:line="280" w:lineRule="exact"/>
              <w:jc w:val="center"/>
              <w:rPr>
                <w:rFonts w:hint="eastAsia" w:ascii="宋体" w:hAnsi="宋体"/>
                <w:sz w:val="24"/>
                <w:szCs w:val="24"/>
              </w:rPr>
            </w:pPr>
            <w:r>
              <w:rPr>
                <w:rFonts w:hint="eastAsia" w:ascii="宋体" w:hAnsi="宋体"/>
                <w:sz w:val="24"/>
                <w:szCs w:val="24"/>
              </w:rPr>
              <w:t>分期验收</w:t>
            </w:r>
          </w:p>
        </w:tc>
        <w:tc>
          <w:tcPr>
            <w:tcW w:w="670" w:type="pct"/>
            <w:noWrap w:val="0"/>
            <w:vAlign w:val="center"/>
          </w:tcPr>
          <w:p>
            <w:pPr>
              <w:spacing w:line="280" w:lineRule="exact"/>
              <w:jc w:val="center"/>
              <w:rPr>
                <w:rFonts w:hint="eastAsia" w:ascii="宋体" w:hAnsi="宋体"/>
                <w:sz w:val="24"/>
                <w:szCs w:val="24"/>
              </w:rPr>
            </w:pPr>
            <w:r>
              <w:rPr>
                <w:rFonts w:hint="eastAsia" w:ascii="宋体" w:hAnsi="宋体"/>
                <w:sz w:val="24"/>
                <w:szCs w:val="24"/>
              </w:rPr>
              <w:t>是□   否□</w:t>
            </w:r>
          </w:p>
        </w:tc>
        <w:tc>
          <w:tcPr>
            <w:tcW w:w="694" w:type="pct"/>
            <w:noWrap w:val="0"/>
            <w:vAlign w:val="center"/>
          </w:tcPr>
          <w:p>
            <w:pPr>
              <w:spacing w:line="280" w:lineRule="exact"/>
              <w:jc w:val="center"/>
              <w:rPr>
                <w:rFonts w:hint="eastAsia" w:ascii="宋体" w:hAnsi="宋体"/>
                <w:sz w:val="24"/>
                <w:szCs w:val="24"/>
              </w:rPr>
            </w:pPr>
            <w:r>
              <w:rPr>
                <w:rFonts w:hint="eastAsia" w:ascii="宋体" w:hAnsi="宋体"/>
                <w:sz w:val="24"/>
                <w:szCs w:val="24"/>
              </w:rPr>
              <w:t>分期情况</w:t>
            </w:r>
          </w:p>
        </w:tc>
        <w:tc>
          <w:tcPr>
            <w:tcW w:w="2761" w:type="pct"/>
            <w:gridSpan w:val="6"/>
            <w:noWrap w:val="0"/>
            <w:vAlign w:val="center"/>
          </w:tcPr>
          <w:p>
            <w:pPr>
              <w:spacing w:line="280" w:lineRule="exact"/>
              <w:jc w:val="center"/>
              <w:rPr>
                <w:rFonts w:hint="eastAsia" w:ascii="宋体" w:hAnsi="宋体"/>
                <w:sz w:val="24"/>
                <w:szCs w:val="24"/>
              </w:rPr>
            </w:pPr>
            <w:r>
              <w:rPr>
                <w:rFonts w:hint="eastAsia" w:ascii="宋体" w:hAnsi="宋体"/>
                <w:sz w:val="24"/>
                <w:szCs w:val="24"/>
              </w:rPr>
              <w:t>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73" w:type="pct"/>
            <w:noWrap w:val="0"/>
            <w:vAlign w:val="center"/>
          </w:tcPr>
          <w:p>
            <w:pPr>
              <w:spacing w:line="280" w:lineRule="exact"/>
              <w:jc w:val="center"/>
              <w:rPr>
                <w:rFonts w:hint="eastAsia" w:ascii="宋体" w:hAnsi="宋体"/>
                <w:sz w:val="24"/>
                <w:szCs w:val="24"/>
              </w:rPr>
            </w:pPr>
            <w:r>
              <w:rPr>
                <w:rFonts w:hint="eastAsia" w:ascii="宋体" w:hAnsi="宋体"/>
                <w:sz w:val="24"/>
                <w:szCs w:val="24"/>
              </w:rPr>
              <w:t>验收时间</w:t>
            </w:r>
          </w:p>
        </w:tc>
        <w:tc>
          <w:tcPr>
            <w:tcW w:w="670" w:type="pct"/>
            <w:noWrap w:val="0"/>
            <w:vAlign w:val="center"/>
          </w:tcPr>
          <w:p>
            <w:pPr>
              <w:spacing w:line="280" w:lineRule="exact"/>
              <w:jc w:val="center"/>
              <w:rPr>
                <w:rFonts w:hint="eastAsia" w:ascii="宋体" w:hAnsi="宋体"/>
                <w:sz w:val="24"/>
                <w:szCs w:val="24"/>
              </w:rPr>
            </w:pPr>
          </w:p>
        </w:tc>
        <w:tc>
          <w:tcPr>
            <w:tcW w:w="694" w:type="pct"/>
            <w:noWrap w:val="0"/>
            <w:vAlign w:val="center"/>
          </w:tcPr>
          <w:p>
            <w:pPr>
              <w:spacing w:line="280" w:lineRule="exact"/>
              <w:jc w:val="center"/>
              <w:rPr>
                <w:rFonts w:hint="eastAsia" w:ascii="宋体" w:hAnsi="宋体"/>
                <w:sz w:val="24"/>
                <w:szCs w:val="24"/>
              </w:rPr>
            </w:pPr>
            <w:r>
              <w:rPr>
                <w:rFonts w:hint="eastAsia" w:ascii="宋体" w:hAnsi="宋体"/>
                <w:sz w:val="24"/>
                <w:szCs w:val="24"/>
              </w:rPr>
              <w:t>验收地点</w:t>
            </w:r>
          </w:p>
        </w:tc>
        <w:tc>
          <w:tcPr>
            <w:tcW w:w="721" w:type="pct"/>
            <w:gridSpan w:val="2"/>
            <w:noWrap w:val="0"/>
            <w:vAlign w:val="center"/>
          </w:tcPr>
          <w:p>
            <w:pPr>
              <w:spacing w:line="280" w:lineRule="exact"/>
              <w:jc w:val="center"/>
              <w:rPr>
                <w:rFonts w:hint="eastAsia" w:ascii="宋体" w:hAnsi="宋体"/>
                <w:sz w:val="24"/>
                <w:szCs w:val="24"/>
              </w:rPr>
            </w:pPr>
          </w:p>
        </w:tc>
        <w:tc>
          <w:tcPr>
            <w:tcW w:w="723" w:type="pct"/>
            <w:gridSpan w:val="2"/>
            <w:noWrap w:val="0"/>
            <w:vAlign w:val="center"/>
          </w:tcPr>
          <w:p>
            <w:pPr>
              <w:spacing w:line="280" w:lineRule="exact"/>
              <w:ind w:left="432" w:hanging="432" w:hangingChars="180"/>
              <w:jc w:val="center"/>
              <w:rPr>
                <w:rFonts w:hint="eastAsia" w:ascii="宋体" w:hAnsi="宋体"/>
                <w:sz w:val="24"/>
                <w:szCs w:val="24"/>
              </w:rPr>
            </w:pPr>
            <w:r>
              <w:rPr>
                <w:rFonts w:hint="eastAsia" w:ascii="宋体" w:hAnsi="宋体"/>
                <w:sz w:val="24"/>
                <w:szCs w:val="24"/>
              </w:rPr>
              <w:t>验收组织形式</w:t>
            </w:r>
          </w:p>
        </w:tc>
        <w:tc>
          <w:tcPr>
            <w:tcW w:w="1317" w:type="pct"/>
            <w:gridSpan w:val="2"/>
            <w:noWrap w:val="0"/>
            <w:vAlign w:val="center"/>
          </w:tcPr>
          <w:p>
            <w:pPr>
              <w:ind w:left="960" w:hanging="960" w:hangingChars="400"/>
              <w:jc w:val="center"/>
              <w:rPr>
                <w:rFonts w:hint="eastAsia" w:ascii="仿宋_GB2312" w:eastAsia="仿宋_GB2312"/>
                <w:sz w:val="24"/>
              </w:rPr>
            </w:pPr>
            <w:r>
              <w:rPr>
                <w:rFonts w:hint="eastAsia" w:ascii="仿宋_GB2312" w:eastAsia="仿宋_GB2312"/>
                <w:sz w:val="24"/>
              </w:rPr>
              <w:t>□自行简易验收</w:t>
            </w:r>
          </w:p>
          <w:p>
            <w:pPr>
              <w:spacing w:line="280" w:lineRule="exact"/>
              <w:jc w:val="center"/>
              <w:rPr>
                <w:rFonts w:hint="eastAsia" w:ascii="宋体" w:hAnsi="宋体"/>
                <w:sz w:val="24"/>
                <w:szCs w:val="24"/>
              </w:rPr>
            </w:pPr>
            <w:r>
              <w:rPr>
                <w:rFonts w:hint="eastAsia" w:ascii="仿宋_GB2312" w:eastAsia="仿宋_GB2312"/>
                <w:sz w:val="24"/>
              </w:rPr>
              <w:t>□验收小组验收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73" w:type="pct"/>
            <w:vMerge w:val="restart"/>
            <w:noWrap w:val="0"/>
            <w:vAlign w:val="center"/>
          </w:tcPr>
          <w:p>
            <w:pPr>
              <w:spacing w:line="280" w:lineRule="exact"/>
              <w:jc w:val="center"/>
              <w:rPr>
                <w:rFonts w:hint="eastAsia" w:ascii="宋体" w:hAnsi="宋体"/>
                <w:sz w:val="24"/>
                <w:szCs w:val="24"/>
              </w:rPr>
            </w:pPr>
            <w:r>
              <w:rPr>
                <w:rFonts w:hint="eastAsia" w:ascii="宋体" w:hAnsi="宋体"/>
                <w:sz w:val="24"/>
                <w:szCs w:val="24"/>
              </w:rPr>
              <w:t>验收内容</w:t>
            </w:r>
          </w:p>
        </w:tc>
        <w:tc>
          <w:tcPr>
            <w:tcW w:w="670" w:type="pct"/>
            <w:noWrap w:val="0"/>
            <w:vAlign w:val="center"/>
          </w:tcPr>
          <w:p>
            <w:pPr>
              <w:spacing w:line="280" w:lineRule="exact"/>
              <w:jc w:val="center"/>
              <w:rPr>
                <w:rFonts w:hint="eastAsia" w:ascii="宋体" w:hAnsi="宋体"/>
                <w:sz w:val="24"/>
                <w:szCs w:val="24"/>
              </w:rPr>
            </w:pPr>
            <w:r>
              <w:rPr>
                <w:rFonts w:hint="eastAsia" w:ascii="宋体" w:hAnsi="宋体"/>
                <w:sz w:val="24"/>
                <w:szCs w:val="24"/>
              </w:rPr>
              <w:t>服务质量</w:t>
            </w:r>
          </w:p>
        </w:tc>
        <w:tc>
          <w:tcPr>
            <w:tcW w:w="694" w:type="pct"/>
            <w:noWrap w:val="0"/>
            <w:vAlign w:val="center"/>
          </w:tcPr>
          <w:p>
            <w:pPr>
              <w:spacing w:line="280" w:lineRule="exact"/>
              <w:jc w:val="center"/>
              <w:rPr>
                <w:rFonts w:hint="eastAsia" w:ascii="宋体" w:hAnsi="宋体"/>
                <w:sz w:val="24"/>
                <w:szCs w:val="24"/>
              </w:rPr>
            </w:pPr>
            <w:r>
              <w:rPr>
                <w:rFonts w:hint="eastAsia" w:ascii="宋体" w:hAnsi="宋体"/>
                <w:sz w:val="24"/>
                <w:szCs w:val="24"/>
              </w:rPr>
              <w:t>服务</w:t>
            </w:r>
            <w:r>
              <w:rPr>
                <w:rFonts w:hint="eastAsia"/>
                <w:sz w:val="24"/>
                <w:szCs w:val="24"/>
              </w:rPr>
              <w:t>进度</w:t>
            </w:r>
          </w:p>
        </w:tc>
        <w:tc>
          <w:tcPr>
            <w:tcW w:w="721" w:type="pct"/>
            <w:gridSpan w:val="2"/>
            <w:noWrap w:val="0"/>
            <w:vAlign w:val="center"/>
          </w:tcPr>
          <w:p>
            <w:pPr>
              <w:spacing w:line="280" w:lineRule="exact"/>
              <w:jc w:val="center"/>
              <w:rPr>
                <w:rFonts w:hint="eastAsia" w:ascii="宋体" w:hAnsi="宋体"/>
                <w:sz w:val="24"/>
                <w:szCs w:val="24"/>
              </w:rPr>
            </w:pPr>
            <w:r>
              <w:rPr>
                <w:rFonts w:hint="eastAsia" w:ascii="宋体" w:hAnsi="宋体"/>
                <w:sz w:val="24"/>
                <w:szCs w:val="24"/>
              </w:rPr>
              <w:t>人员、设备</w:t>
            </w:r>
          </w:p>
          <w:p>
            <w:pPr>
              <w:spacing w:line="280" w:lineRule="exact"/>
              <w:jc w:val="center"/>
              <w:rPr>
                <w:rFonts w:hint="eastAsia"/>
                <w:sz w:val="24"/>
                <w:szCs w:val="24"/>
              </w:rPr>
            </w:pPr>
            <w:r>
              <w:rPr>
                <w:rFonts w:hint="eastAsia" w:ascii="宋体" w:hAnsi="宋体"/>
                <w:sz w:val="24"/>
                <w:szCs w:val="24"/>
              </w:rPr>
              <w:t>配备情况</w:t>
            </w:r>
          </w:p>
        </w:tc>
        <w:tc>
          <w:tcPr>
            <w:tcW w:w="613" w:type="pct"/>
            <w:noWrap w:val="0"/>
            <w:vAlign w:val="center"/>
          </w:tcPr>
          <w:p>
            <w:pPr>
              <w:spacing w:line="280" w:lineRule="exact"/>
              <w:jc w:val="center"/>
              <w:rPr>
                <w:rFonts w:hint="eastAsia" w:ascii="宋体" w:hAnsi="宋体"/>
                <w:sz w:val="24"/>
              </w:rPr>
            </w:pPr>
            <w:r>
              <w:rPr>
                <w:rFonts w:hint="eastAsia" w:ascii="宋体" w:hAnsi="宋体"/>
                <w:sz w:val="24"/>
              </w:rPr>
              <w:t>安全标准</w:t>
            </w:r>
          </w:p>
        </w:tc>
        <w:tc>
          <w:tcPr>
            <w:tcW w:w="696" w:type="pct"/>
            <w:gridSpan w:val="2"/>
            <w:noWrap w:val="0"/>
            <w:vAlign w:val="center"/>
          </w:tcPr>
          <w:p>
            <w:pPr>
              <w:spacing w:line="280" w:lineRule="exact"/>
              <w:jc w:val="center"/>
              <w:rPr>
                <w:rFonts w:hint="eastAsia" w:ascii="宋体" w:hAnsi="宋体"/>
                <w:sz w:val="24"/>
              </w:rPr>
            </w:pPr>
            <w:r>
              <w:rPr>
                <w:rFonts w:hint="eastAsia" w:ascii="宋体" w:hAnsi="宋体"/>
                <w:sz w:val="24"/>
              </w:rPr>
              <w:t>服务承诺实现</w:t>
            </w:r>
          </w:p>
        </w:tc>
        <w:tc>
          <w:tcPr>
            <w:tcW w:w="730" w:type="pct"/>
            <w:noWrap w:val="0"/>
            <w:vAlign w:val="center"/>
          </w:tcPr>
          <w:p>
            <w:pPr>
              <w:spacing w:line="280" w:lineRule="exact"/>
              <w:jc w:val="left"/>
              <w:rPr>
                <w:rFonts w:hint="eastAsia"/>
                <w:szCs w:val="21"/>
              </w:rPr>
            </w:pPr>
            <w:r>
              <w:rPr>
                <w:rFonts w:hint="eastAsia" w:ascii="宋体" w:hAnsi="宋体" w:eastAsia="宋体" w:cs="Times New Roman"/>
                <w:sz w:val="24"/>
                <w:szCs w:val="22"/>
              </w:rPr>
              <w:t>合同履约时间、地点、方式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3" w:type="pct"/>
            <w:vMerge w:val="continue"/>
            <w:noWrap w:val="0"/>
            <w:vAlign w:val="center"/>
          </w:tcPr>
          <w:p>
            <w:pPr>
              <w:spacing w:line="280" w:lineRule="exact"/>
              <w:jc w:val="center"/>
              <w:rPr>
                <w:rFonts w:hint="eastAsia" w:ascii="宋体" w:hAnsi="宋体"/>
                <w:sz w:val="24"/>
                <w:szCs w:val="24"/>
              </w:rPr>
            </w:pPr>
          </w:p>
        </w:tc>
        <w:tc>
          <w:tcPr>
            <w:tcW w:w="670" w:type="pct"/>
            <w:noWrap w:val="0"/>
            <w:vAlign w:val="center"/>
          </w:tcPr>
          <w:p>
            <w:pPr>
              <w:spacing w:line="280" w:lineRule="exact"/>
              <w:ind w:firstLine="120" w:firstLineChars="50"/>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rPr>
            </w:pPr>
            <w:r>
              <w:rPr>
                <w:rFonts w:hint="eastAsia" w:ascii="宋体" w:hAnsi="宋体"/>
                <w:sz w:val="24"/>
              </w:rPr>
              <w:t xml:space="preserve"> 不合格□</w:t>
            </w:r>
          </w:p>
        </w:tc>
        <w:tc>
          <w:tcPr>
            <w:tcW w:w="694" w:type="pct"/>
            <w:noWrap w:val="0"/>
            <w:vAlign w:val="center"/>
          </w:tcPr>
          <w:p>
            <w:pPr>
              <w:spacing w:line="280" w:lineRule="exact"/>
              <w:ind w:firstLine="120" w:firstLineChars="50"/>
              <w:jc w:val="center"/>
              <w:rPr>
                <w:rFonts w:hint="eastAsia" w:ascii="宋体" w:hAnsi="宋体"/>
                <w:sz w:val="24"/>
              </w:rPr>
            </w:pPr>
            <w:r>
              <w:rPr>
                <w:rFonts w:hint="eastAsia" w:ascii="宋体" w:hAnsi="宋体"/>
                <w:sz w:val="24"/>
                <w:szCs w:val="24"/>
              </w:rPr>
              <w:t>按  时</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 xml:space="preserve"> 不按时□</w:t>
            </w:r>
          </w:p>
        </w:tc>
        <w:tc>
          <w:tcPr>
            <w:tcW w:w="721" w:type="pct"/>
            <w:gridSpan w:val="2"/>
            <w:noWrap w:val="0"/>
            <w:vAlign w:val="center"/>
          </w:tcPr>
          <w:p>
            <w:pPr>
              <w:spacing w:line="280" w:lineRule="exact"/>
              <w:ind w:firstLine="120" w:firstLineChars="50"/>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 xml:space="preserve"> 不合格□</w:t>
            </w:r>
          </w:p>
        </w:tc>
        <w:tc>
          <w:tcPr>
            <w:tcW w:w="613" w:type="pct"/>
            <w:noWrap w:val="0"/>
            <w:vAlign w:val="center"/>
          </w:tcPr>
          <w:p>
            <w:pPr>
              <w:spacing w:line="280" w:lineRule="exact"/>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不合格□</w:t>
            </w:r>
          </w:p>
        </w:tc>
        <w:tc>
          <w:tcPr>
            <w:tcW w:w="696" w:type="pct"/>
            <w:gridSpan w:val="2"/>
            <w:noWrap w:val="0"/>
            <w:vAlign w:val="center"/>
          </w:tcPr>
          <w:p>
            <w:pPr>
              <w:spacing w:line="280" w:lineRule="exact"/>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不合格□</w:t>
            </w:r>
          </w:p>
        </w:tc>
        <w:tc>
          <w:tcPr>
            <w:tcW w:w="730" w:type="pct"/>
            <w:noWrap w:val="0"/>
            <w:vAlign w:val="center"/>
          </w:tcPr>
          <w:p>
            <w:pPr>
              <w:spacing w:line="280" w:lineRule="exact"/>
              <w:ind w:firstLine="120" w:firstLineChars="50"/>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 xml:space="preserve">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noWrap w:val="0"/>
            <w:vAlign w:val="center"/>
          </w:tcPr>
          <w:p>
            <w:pPr>
              <w:spacing w:line="280" w:lineRule="exact"/>
              <w:jc w:val="center"/>
              <w:rPr>
                <w:rFonts w:hint="eastAsia"/>
                <w:sz w:val="24"/>
              </w:rPr>
            </w:pPr>
            <w:r>
              <w:rPr>
                <w:rFonts w:hint="eastAsia"/>
                <w:sz w:val="24"/>
              </w:rPr>
              <w:t>专业检测机构</w:t>
            </w:r>
          </w:p>
          <w:p>
            <w:pPr>
              <w:spacing w:line="280" w:lineRule="exact"/>
              <w:jc w:val="center"/>
              <w:rPr>
                <w:rFonts w:hint="eastAsia" w:ascii="宋体" w:hAnsi="宋体"/>
                <w:sz w:val="24"/>
                <w:szCs w:val="24"/>
              </w:rPr>
            </w:pPr>
            <w:r>
              <w:rPr>
                <w:rFonts w:hint="eastAsia"/>
                <w:sz w:val="24"/>
              </w:rPr>
              <w:t>情况说明</w:t>
            </w:r>
          </w:p>
        </w:tc>
        <w:tc>
          <w:tcPr>
            <w:tcW w:w="4126" w:type="pct"/>
            <w:gridSpan w:val="8"/>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noWrap w:val="0"/>
            <w:vAlign w:val="center"/>
          </w:tcPr>
          <w:p>
            <w:pPr>
              <w:spacing w:line="280" w:lineRule="exact"/>
              <w:jc w:val="center"/>
              <w:rPr>
                <w:rFonts w:hint="eastAsia" w:ascii="宋体" w:hAnsi="宋体"/>
                <w:sz w:val="24"/>
                <w:szCs w:val="24"/>
              </w:rPr>
            </w:pPr>
            <w:r>
              <w:rPr>
                <w:rFonts w:hint="eastAsia" w:ascii="宋体" w:hAnsi="宋体"/>
                <w:sz w:val="24"/>
                <w:szCs w:val="24"/>
              </w:rPr>
              <w:t>存在问题</w:t>
            </w:r>
          </w:p>
          <w:p>
            <w:pPr>
              <w:spacing w:line="280" w:lineRule="exact"/>
              <w:jc w:val="center"/>
              <w:rPr>
                <w:rFonts w:hint="eastAsia" w:ascii="宋体" w:hAnsi="宋体"/>
                <w:sz w:val="24"/>
                <w:szCs w:val="24"/>
              </w:rPr>
            </w:pPr>
            <w:r>
              <w:rPr>
                <w:rFonts w:hint="eastAsia" w:ascii="宋体" w:hAnsi="宋体"/>
                <w:sz w:val="24"/>
                <w:szCs w:val="24"/>
              </w:rPr>
              <w:t>和改进意见</w:t>
            </w:r>
          </w:p>
        </w:tc>
        <w:tc>
          <w:tcPr>
            <w:tcW w:w="4126" w:type="pct"/>
            <w:gridSpan w:val="8"/>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73" w:type="pct"/>
            <w:noWrap w:val="0"/>
            <w:vAlign w:val="center"/>
          </w:tcPr>
          <w:p>
            <w:pPr>
              <w:spacing w:line="280" w:lineRule="exact"/>
              <w:jc w:val="center"/>
              <w:rPr>
                <w:rFonts w:hint="eastAsia" w:ascii="宋体" w:hAnsi="宋体"/>
                <w:sz w:val="24"/>
                <w:szCs w:val="24"/>
              </w:rPr>
            </w:pPr>
            <w:r>
              <w:rPr>
                <w:rFonts w:hint="eastAsia" w:ascii="宋体" w:hAnsi="宋体"/>
                <w:sz w:val="24"/>
                <w:szCs w:val="24"/>
              </w:rPr>
              <w:t>最终结论</w:t>
            </w:r>
          </w:p>
        </w:tc>
        <w:tc>
          <w:tcPr>
            <w:tcW w:w="4126" w:type="pct"/>
            <w:gridSpan w:val="8"/>
            <w:noWrap w:val="0"/>
            <w:vAlign w:val="center"/>
          </w:tcPr>
          <w:p>
            <w:pPr>
              <w:spacing w:line="280" w:lineRule="exact"/>
              <w:jc w:val="center"/>
              <w:rPr>
                <w:rFonts w:hint="eastAsia" w:ascii="宋体" w:hAnsi="宋体"/>
                <w:sz w:val="24"/>
                <w:szCs w:val="24"/>
              </w:rPr>
            </w:pPr>
            <w:r>
              <w:rPr>
                <w:rFonts w:hint="eastAsia" w:ascii="宋体" w:hAnsi="宋体"/>
                <w:sz w:val="24"/>
                <w:szCs w:val="24"/>
              </w:rPr>
              <w:t>合  格</w:t>
            </w:r>
            <w:r>
              <w:rPr>
                <w:rFonts w:hint="eastAsia" w:ascii="宋体" w:hAnsi="宋体"/>
                <w:sz w:val="24"/>
              </w:rPr>
              <w:t>□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noWrap w:val="0"/>
            <w:vAlign w:val="center"/>
          </w:tcPr>
          <w:p>
            <w:pPr>
              <w:spacing w:line="280" w:lineRule="exact"/>
              <w:jc w:val="center"/>
              <w:rPr>
                <w:rFonts w:hint="eastAsia"/>
                <w:sz w:val="24"/>
              </w:rPr>
            </w:pPr>
            <w:r>
              <w:rPr>
                <w:rFonts w:hint="eastAsia"/>
                <w:sz w:val="24"/>
              </w:rPr>
              <w:t>验收小组</w:t>
            </w:r>
          </w:p>
          <w:p>
            <w:pPr>
              <w:spacing w:line="280" w:lineRule="exact"/>
              <w:jc w:val="center"/>
              <w:rPr>
                <w:rFonts w:hint="eastAsia"/>
                <w:sz w:val="24"/>
              </w:rPr>
            </w:pPr>
            <w:r>
              <w:rPr>
                <w:rFonts w:hint="eastAsia"/>
                <w:sz w:val="24"/>
              </w:rPr>
              <w:t>成员签字</w:t>
            </w:r>
          </w:p>
        </w:tc>
        <w:tc>
          <w:tcPr>
            <w:tcW w:w="4126" w:type="pct"/>
            <w:gridSpan w:val="8"/>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477" w:type="pct"/>
            <w:gridSpan w:val="4"/>
            <w:noWrap w:val="0"/>
            <w:vAlign w:val="center"/>
          </w:tcPr>
          <w:p>
            <w:pPr>
              <w:spacing w:line="280" w:lineRule="exact"/>
              <w:jc w:val="center"/>
              <w:rPr>
                <w:rFonts w:ascii="宋体" w:hAnsi="宋体"/>
                <w:sz w:val="24"/>
                <w:szCs w:val="24"/>
              </w:rPr>
            </w:pPr>
            <w:r>
              <w:rPr>
                <w:rFonts w:hint="eastAsia" w:ascii="宋体" w:hAnsi="宋体"/>
                <w:sz w:val="24"/>
                <w:szCs w:val="24"/>
              </w:rPr>
              <w:t>采购代理机构意见</w:t>
            </w:r>
          </w:p>
        </w:tc>
        <w:tc>
          <w:tcPr>
            <w:tcW w:w="2522" w:type="pct"/>
            <w:gridSpan w:val="5"/>
            <w:noWrap w:val="0"/>
            <w:vAlign w:val="center"/>
          </w:tcPr>
          <w:p>
            <w:pPr>
              <w:spacing w:line="280" w:lineRule="exact"/>
              <w:jc w:val="center"/>
              <w:rPr>
                <w:rFonts w:hint="eastAsia" w:ascii="宋体" w:hAnsi="宋体"/>
                <w:sz w:val="24"/>
                <w:szCs w:val="24"/>
              </w:rPr>
            </w:pPr>
            <w:r>
              <w:rPr>
                <w:rFonts w:hint="eastAsia" w:ascii="宋体" w:hAnsi="宋体"/>
                <w:sz w:val="24"/>
                <w:szCs w:val="24"/>
              </w:rPr>
              <w:t>采购单位意见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477" w:type="pct"/>
            <w:gridSpan w:val="4"/>
            <w:noWrap w:val="0"/>
            <w:vAlign w:val="top"/>
          </w:tcPr>
          <w:p>
            <w:pPr>
              <w:spacing w:line="280" w:lineRule="exact"/>
              <w:rPr>
                <w:rFonts w:hint="eastAsia"/>
                <w:sz w:val="24"/>
                <w:szCs w:val="24"/>
              </w:rPr>
            </w:pPr>
            <w:r>
              <w:rPr>
                <w:rFonts w:hint="eastAsia"/>
                <w:sz w:val="24"/>
                <w:szCs w:val="24"/>
              </w:rPr>
              <w:t xml:space="preserve">                                                    </w:t>
            </w:r>
          </w:p>
          <w:p>
            <w:pPr>
              <w:spacing w:line="280" w:lineRule="exact"/>
              <w:ind w:firstLine="120" w:firstLineChars="50"/>
              <w:jc w:val="center"/>
              <w:rPr>
                <w:rFonts w:hint="eastAsia"/>
                <w:sz w:val="24"/>
                <w:szCs w:val="24"/>
              </w:rPr>
            </w:pPr>
            <w:r>
              <w:rPr>
                <w:rFonts w:hint="eastAsia"/>
                <w:sz w:val="24"/>
                <w:szCs w:val="24"/>
              </w:rPr>
              <w:t xml:space="preserve">                  </w:t>
            </w:r>
          </w:p>
          <w:p>
            <w:pPr>
              <w:spacing w:line="280" w:lineRule="exact"/>
              <w:rPr>
                <w:rFonts w:hint="eastAsia"/>
                <w:sz w:val="24"/>
                <w:szCs w:val="24"/>
              </w:rPr>
            </w:pPr>
            <w:r>
              <w:rPr>
                <w:rFonts w:hint="eastAsia"/>
                <w:sz w:val="24"/>
                <w:szCs w:val="24"/>
              </w:rPr>
              <w:t>经办人：          负责人：             （采购代理机构公章）</w:t>
            </w:r>
          </w:p>
        </w:tc>
        <w:tc>
          <w:tcPr>
            <w:tcW w:w="2522" w:type="pct"/>
            <w:gridSpan w:val="5"/>
            <w:noWrap w:val="0"/>
            <w:vAlign w:val="top"/>
          </w:tcPr>
          <w:p>
            <w:pPr>
              <w:spacing w:line="280" w:lineRule="exact"/>
              <w:ind w:firstLine="120" w:firstLineChars="50"/>
              <w:rPr>
                <w:rFonts w:hint="eastAsia"/>
                <w:sz w:val="24"/>
                <w:szCs w:val="24"/>
              </w:rPr>
            </w:pPr>
            <w:r>
              <w:rPr>
                <w:rFonts w:hint="eastAsia"/>
                <w:sz w:val="24"/>
                <w:szCs w:val="24"/>
              </w:rPr>
              <w:t xml:space="preserve">                                                     </w:t>
            </w:r>
          </w:p>
          <w:p>
            <w:pPr>
              <w:spacing w:line="280" w:lineRule="exact"/>
              <w:ind w:firstLine="120" w:firstLineChars="50"/>
              <w:rPr>
                <w:rFonts w:hint="eastAsia"/>
                <w:sz w:val="24"/>
                <w:szCs w:val="24"/>
              </w:rPr>
            </w:pPr>
          </w:p>
          <w:p>
            <w:pPr>
              <w:spacing w:line="280" w:lineRule="exact"/>
              <w:rPr>
                <w:rFonts w:hint="eastAsia"/>
                <w:sz w:val="24"/>
                <w:szCs w:val="24"/>
              </w:rPr>
            </w:pPr>
            <w:r>
              <w:rPr>
                <w:rFonts w:hint="eastAsia"/>
                <w:sz w:val="24"/>
                <w:szCs w:val="24"/>
              </w:rPr>
              <w:t>经办人：         负责人：                （采购单位公章）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000" w:type="pct"/>
            <w:gridSpan w:val="9"/>
            <w:noWrap w:val="0"/>
            <w:vAlign w:val="top"/>
          </w:tcPr>
          <w:p>
            <w:pPr>
              <w:spacing w:line="280" w:lineRule="exact"/>
              <w:rPr>
                <w:rFonts w:hint="eastAsia"/>
                <w:sz w:val="24"/>
                <w:szCs w:val="24"/>
              </w:rPr>
            </w:pPr>
            <w:r>
              <w:rPr>
                <w:rFonts w:hint="eastAsia"/>
                <w:sz w:val="24"/>
                <w:szCs w:val="24"/>
              </w:rPr>
              <w:t>供应商确认：</w:t>
            </w:r>
          </w:p>
          <w:p>
            <w:pPr>
              <w:spacing w:line="280" w:lineRule="exact"/>
              <w:rPr>
                <w:rFonts w:hint="eastAsia"/>
                <w:sz w:val="24"/>
                <w:szCs w:val="24"/>
              </w:rPr>
            </w:pPr>
          </w:p>
          <w:p>
            <w:pPr>
              <w:spacing w:line="280" w:lineRule="exact"/>
              <w:ind w:firstLine="120" w:firstLineChars="50"/>
              <w:rPr>
                <w:rFonts w:hint="eastAsia"/>
                <w:sz w:val="24"/>
                <w:szCs w:val="24"/>
              </w:rPr>
            </w:pPr>
            <w:r>
              <w:rPr>
                <w:rFonts w:hint="eastAsia"/>
                <w:sz w:val="24"/>
                <w:szCs w:val="24"/>
              </w:rPr>
              <w:t xml:space="preserve">                                                                                   （单位公章或授权代表签字）</w:t>
            </w:r>
          </w:p>
        </w:tc>
      </w:tr>
    </w:tbl>
    <w:p>
      <w:pPr>
        <w:spacing w:line="280" w:lineRule="exact"/>
      </w:pPr>
      <w:r>
        <w:rPr>
          <w:rFonts w:hint="eastAsia"/>
        </w:rPr>
        <w:t>说明：1.该表为服务类项目履约验收的参考样表，采购人或采购代理机构可以根据工作实际进行调整。</w:t>
      </w:r>
    </w:p>
    <w:p>
      <w:pPr>
        <w:spacing w:line="280" w:lineRule="exact"/>
      </w:pPr>
      <w:r>
        <w:t xml:space="preserve">    </w:t>
      </w:r>
      <w:r>
        <w:rPr>
          <w:rFonts w:hint="eastAsia"/>
        </w:rPr>
        <w:t xml:space="preserve">  </w:t>
      </w:r>
      <w:r>
        <w:t>2.</w:t>
      </w:r>
      <w:r>
        <w:rPr>
          <w:rFonts w:hint="eastAsia"/>
        </w:rPr>
        <w:t>“采购代理机构意见”，履约验收工作由采购人自行组织的，无需填写该项内容。</w:t>
      </w:r>
    </w:p>
    <w:p>
      <w:pPr>
        <w:spacing w:line="480" w:lineRule="exact"/>
        <w:jc w:val="center"/>
        <w:rPr>
          <w:rFonts w:cs="宋体" w:asciiTheme="majorEastAsia" w:hAnsiTheme="majorEastAsia" w:eastAsiaTheme="majorEastAsia"/>
          <w:b/>
          <w:sz w:val="30"/>
          <w:szCs w:val="30"/>
        </w:rPr>
      </w:pPr>
    </w:p>
    <w:p>
      <w:pPr>
        <w:spacing w:line="480" w:lineRule="exact"/>
        <w:jc w:val="center"/>
        <w:rPr>
          <w:rFonts w:cs="宋体" w:asciiTheme="majorEastAsia" w:hAnsiTheme="majorEastAsia" w:eastAsiaTheme="majorEastAsia"/>
          <w:b/>
          <w:sz w:val="30"/>
          <w:szCs w:val="30"/>
        </w:rPr>
      </w:pPr>
    </w:p>
    <w:p>
      <w:pPr>
        <w:pStyle w:val="2"/>
        <w:rPr>
          <w:rFonts w:cs="宋体" w:asciiTheme="majorEastAsia" w:hAnsiTheme="majorEastAsia" w:eastAsiaTheme="majorEastAsia"/>
          <w:b/>
          <w:sz w:val="30"/>
          <w:szCs w:val="30"/>
        </w:rPr>
      </w:pPr>
    </w:p>
    <w:p>
      <w:pPr>
        <w:pStyle w:val="2"/>
        <w:rPr>
          <w:rFonts w:cs="宋体" w:asciiTheme="majorEastAsia" w:hAnsiTheme="majorEastAsia" w:eastAsiaTheme="majorEastAsia"/>
          <w:b/>
          <w:sz w:val="30"/>
          <w:szCs w:val="30"/>
        </w:rPr>
      </w:pPr>
    </w:p>
    <w:p>
      <w:pPr>
        <w:pStyle w:val="2"/>
        <w:rPr>
          <w:rFonts w:cs="宋体" w:asciiTheme="majorEastAsia" w:hAnsiTheme="majorEastAsia" w:eastAsiaTheme="majorEastAsia"/>
          <w:b/>
          <w:sz w:val="30"/>
          <w:szCs w:val="30"/>
        </w:rPr>
      </w:pPr>
    </w:p>
    <w:p>
      <w:pPr>
        <w:spacing w:line="480" w:lineRule="exact"/>
        <w:jc w:val="center"/>
        <w:rPr>
          <w:rFonts w:cs="宋体" w:asciiTheme="majorEastAsia" w:hAnsiTheme="majorEastAsia" w:eastAsiaTheme="majorEastAsia"/>
          <w:b/>
          <w:sz w:val="30"/>
          <w:szCs w:val="30"/>
        </w:rPr>
      </w:pPr>
      <w:r>
        <w:rPr>
          <w:rFonts w:hint="eastAsia" w:cs="宋体" w:asciiTheme="majorEastAsia" w:hAnsiTheme="majorEastAsia" w:eastAsiaTheme="majorEastAsia"/>
          <w:b/>
          <w:sz w:val="30"/>
          <w:szCs w:val="30"/>
        </w:rPr>
        <w:t>第六章  附件</w:t>
      </w:r>
    </w:p>
    <w:p>
      <w:pPr>
        <w:spacing w:line="480" w:lineRule="exact"/>
        <w:rPr>
          <w:rFonts w:cs="宋体" w:asciiTheme="majorEastAsia" w:hAnsiTheme="majorEastAsia" w:eastAsiaTheme="majorEastAsia"/>
          <w:bCs/>
          <w:sz w:val="24"/>
        </w:rPr>
      </w:pPr>
      <w:r>
        <w:rPr>
          <w:rFonts w:hint="eastAsia" w:cs="宋体" w:asciiTheme="majorEastAsia" w:hAnsiTheme="majorEastAsia" w:eastAsiaTheme="majorEastAsia"/>
          <w:bCs/>
          <w:sz w:val="24"/>
        </w:rPr>
        <w:t>附件一：</w:t>
      </w:r>
    </w:p>
    <w:p>
      <w:pPr>
        <w:spacing w:line="480" w:lineRule="exact"/>
        <w:jc w:val="center"/>
        <w:rPr>
          <w:rFonts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报 价 函</w:t>
      </w:r>
    </w:p>
    <w:p>
      <w:pPr>
        <w:widowControl/>
        <w:adjustRightInd w:val="0"/>
        <w:spacing w:line="360" w:lineRule="exact"/>
        <w:jc w:val="left"/>
        <w:rPr>
          <w:rFonts w:cs="宋体" w:asciiTheme="majorEastAsia" w:hAnsiTheme="majorEastAsia" w:eastAsiaTheme="majorEastAsia"/>
          <w:sz w:val="24"/>
          <w:szCs w:val="22"/>
        </w:rPr>
      </w:pPr>
      <w:r>
        <w:rPr>
          <w:rFonts w:hint="eastAsia" w:cs="宋体" w:asciiTheme="majorEastAsia" w:hAnsiTheme="majorEastAsia" w:eastAsiaTheme="majorEastAsia"/>
          <w:sz w:val="24"/>
        </w:rPr>
        <w:t>临沂鼎泰招标有限</w:t>
      </w:r>
      <w:r>
        <w:rPr>
          <w:rFonts w:hint="eastAsia" w:cs="宋体" w:asciiTheme="majorEastAsia" w:hAnsiTheme="majorEastAsia" w:eastAsiaTheme="majorEastAsia"/>
          <w:sz w:val="24"/>
          <w:szCs w:val="22"/>
        </w:rPr>
        <w:t>公司：</w:t>
      </w:r>
    </w:p>
    <w:p>
      <w:pPr>
        <w:widowControl/>
        <w:adjustRightInd w:val="0"/>
        <w:spacing w:line="360" w:lineRule="exact"/>
        <w:ind w:firstLine="480" w:firstLineChars="200"/>
        <w:jc w:val="left"/>
        <w:rPr>
          <w:rFonts w:cs="宋体" w:asciiTheme="majorEastAsia" w:hAnsiTheme="majorEastAsia" w:eastAsiaTheme="majorEastAsia"/>
          <w:sz w:val="24"/>
          <w:szCs w:val="22"/>
          <w:lang w:val="zh-CN"/>
        </w:rPr>
      </w:pPr>
      <w:r>
        <w:rPr>
          <w:rFonts w:hint="eastAsia" w:cs="宋体" w:asciiTheme="majorEastAsia" w:hAnsiTheme="majorEastAsia" w:eastAsiaTheme="majorEastAsia"/>
          <w:sz w:val="24"/>
          <w:szCs w:val="22"/>
        </w:rPr>
        <w:t>经研究，我方决定参加</w:t>
      </w:r>
      <w:r>
        <w:rPr>
          <w:rFonts w:hint="eastAsia" w:cs="宋体" w:asciiTheme="majorEastAsia" w:hAnsiTheme="majorEastAsia" w:eastAsiaTheme="majorEastAsia"/>
          <w:sz w:val="24"/>
          <w:szCs w:val="22"/>
          <w:lang w:eastAsia="zh-CN"/>
        </w:rPr>
        <w:t>临沂市妇幼保健院院内指示导引系统项目</w:t>
      </w:r>
      <w:r>
        <w:rPr>
          <w:rFonts w:hint="eastAsia" w:cs="宋体" w:asciiTheme="majorEastAsia" w:hAnsiTheme="majorEastAsia" w:eastAsiaTheme="majorEastAsia"/>
          <w:sz w:val="24"/>
          <w:szCs w:val="22"/>
        </w:rPr>
        <w:t>（项目编号：</w:t>
      </w:r>
      <w:r>
        <w:rPr>
          <w:rFonts w:hint="eastAsia" w:cs="宋体" w:asciiTheme="majorEastAsia" w:hAnsiTheme="majorEastAsia" w:eastAsiaTheme="majorEastAsia"/>
          <w:sz w:val="24"/>
          <w:szCs w:val="22"/>
          <w:lang w:eastAsia="zh-CN"/>
        </w:rPr>
        <w:t>SDGP371300201902001005</w:t>
      </w:r>
      <w:r>
        <w:rPr>
          <w:rFonts w:hint="eastAsia" w:cs="宋体" w:asciiTheme="majorEastAsia" w:hAnsiTheme="majorEastAsia" w:eastAsiaTheme="majorEastAsia"/>
          <w:sz w:val="24"/>
          <w:szCs w:val="22"/>
        </w:rPr>
        <w:t xml:space="preserve"> ）的采购活动并提交响应文件。为此，我方郑重声明以下诸点，并负法律责任：</w:t>
      </w:r>
    </w:p>
    <w:p>
      <w:pPr>
        <w:widowControl/>
        <w:adjustRightInd w:val="0"/>
        <w:spacing w:line="360" w:lineRule="exact"/>
        <w:ind w:firstLine="480" w:firstLineChars="200"/>
        <w:jc w:val="left"/>
        <w:rPr>
          <w:rFonts w:cs="宋体" w:asciiTheme="majorEastAsia" w:hAnsiTheme="majorEastAsia" w:eastAsiaTheme="majorEastAsia"/>
          <w:sz w:val="24"/>
          <w:szCs w:val="22"/>
        </w:rPr>
      </w:pPr>
      <w:r>
        <w:rPr>
          <w:rFonts w:hint="eastAsia" w:cs="宋体" w:asciiTheme="majorEastAsia" w:hAnsiTheme="majorEastAsia" w:eastAsiaTheme="majorEastAsia"/>
          <w:sz w:val="24"/>
          <w:szCs w:val="22"/>
        </w:rPr>
        <w:t>1.我方完全理解和接受磋商文件的一切规定和要求，按规定提交响应文件数量。</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2.如果我方的响应文件被接受，我方将履行磋商文件中规定的每一项要求，并按我方响应文件中的承诺，保证按期完成项目的实施。</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3.我方理解，最低报价不是成交的唯一条件，你们有选择成交人的权利。</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4.我方愿按《中华人民共和国合同法》履行自己的全部责任。</w:t>
      </w:r>
    </w:p>
    <w:p>
      <w:pPr>
        <w:pStyle w:val="66"/>
        <w:rPr>
          <w:rFonts w:asciiTheme="majorEastAsia" w:hAnsiTheme="majorEastAsia" w:eastAsiaTheme="majorEastAsia"/>
        </w:rPr>
      </w:pPr>
      <w:r>
        <w:rPr>
          <w:rFonts w:hint="eastAsia" w:cs="宋体" w:asciiTheme="majorEastAsia" w:hAnsiTheme="majorEastAsia" w:eastAsiaTheme="majorEastAsia"/>
          <w:color w:val="auto"/>
        </w:rPr>
        <w:t xml:space="preserve">    5.我方遵守贵机构对本次项目所做的有关规定。</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6.我方响应文件的有效期为提交响应文件截止时间起60日。</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7.我方若未成为成交人，贵机构有权不做任何解释。</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8.我方与本此报价有关的一切正式往来通讯请寄：</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地    址：</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邮政编号：</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电    话：</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传    真：</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开户单位：</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开户银行：</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账    号：</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供应商全权代表姓名、职务：</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供应商 （公章）：</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法定代表人签字：</w:t>
      </w:r>
    </w:p>
    <w:p>
      <w:pPr>
        <w:spacing w:line="480" w:lineRule="exact"/>
        <w:jc w:val="right"/>
        <w:rPr>
          <w:rFonts w:cs="宋体" w:asciiTheme="majorEastAsia" w:hAnsiTheme="majorEastAsia" w:eastAsiaTheme="majorEastAsia"/>
          <w:sz w:val="24"/>
        </w:rPr>
      </w:pPr>
      <w:r>
        <w:rPr>
          <w:rFonts w:hint="eastAsia" w:cs="宋体" w:asciiTheme="majorEastAsia" w:hAnsiTheme="majorEastAsia" w:eastAsiaTheme="majorEastAsia"/>
          <w:sz w:val="24"/>
        </w:rPr>
        <w:t>年   月   日</w:t>
      </w:r>
    </w:p>
    <w:p>
      <w:pPr>
        <w:spacing w:line="480" w:lineRule="exact"/>
        <w:ind w:firstLine="480" w:firstLineChars="200"/>
        <w:rPr>
          <w:rFonts w:cs="宋体" w:asciiTheme="majorEastAsia" w:hAnsiTheme="majorEastAsia" w:eastAsiaTheme="majorEastAsia"/>
          <w:sz w:val="24"/>
        </w:rPr>
        <w:sectPr>
          <w:headerReference r:id="rId9" w:type="default"/>
          <w:footerReference r:id="rId10" w:type="default"/>
          <w:pgSz w:w="11906" w:h="16838"/>
          <w:pgMar w:top="1440" w:right="1800" w:bottom="1440" w:left="1800" w:header="851" w:footer="992" w:gutter="0"/>
          <w:pgNumType w:fmt="decimal"/>
          <w:cols w:space="720" w:num="1"/>
          <w:docGrid w:linePitch="312" w:charSpace="0"/>
        </w:sectPr>
      </w:pPr>
    </w:p>
    <w:p>
      <w:pPr>
        <w:spacing w:line="480" w:lineRule="exact"/>
        <w:rPr>
          <w:rFonts w:cs="宋体" w:asciiTheme="majorEastAsia" w:hAnsiTheme="majorEastAsia" w:eastAsiaTheme="majorEastAsia"/>
          <w:sz w:val="24"/>
        </w:rPr>
      </w:pPr>
      <w:r>
        <w:rPr>
          <w:rFonts w:hint="eastAsia" w:cs="宋体" w:asciiTheme="majorEastAsia" w:hAnsiTheme="majorEastAsia" w:eastAsiaTheme="majorEastAsia"/>
          <w:sz w:val="24"/>
        </w:rPr>
        <w:t>附件二：</w:t>
      </w:r>
    </w:p>
    <w:p>
      <w:pPr>
        <w:spacing w:line="480" w:lineRule="exact"/>
        <w:jc w:val="center"/>
        <w:rPr>
          <w:rFonts w:cs="宋体" w:asciiTheme="majorEastAsia" w:hAnsiTheme="majorEastAsia" w:eastAsiaTheme="majorEastAsia"/>
          <w:b/>
          <w:bCs/>
          <w:sz w:val="44"/>
          <w:szCs w:val="44"/>
        </w:rPr>
      </w:pPr>
    </w:p>
    <w:p>
      <w:pPr>
        <w:spacing w:line="480" w:lineRule="exact"/>
        <w:jc w:val="center"/>
        <w:rPr>
          <w:rFonts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法定代表人授权委托书</w:t>
      </w:r>
    </w:p>
    <w:p>
      <w:pPr>
        <w:spacing w:line="480" w:lineRule="exact"/>
        <w:jc w:val="center"/>
        <w:rPr>
          <w:rFonts w:cs="宋体" w:asciiTheme="majorEastAsia" w:hAnsiTheme="majorEastAsia" w:eastAsiaTheme="majorEastAsia"/>
          <w:b/>
          <w:bCs/>
          <w:sz w:val="44"/>
          <w:szCs w:val="44"/>
        </w:rPr>
      </w:pPr>
    </w:p>
    <w:p>
      <w:pPr>
        <w:widowControl/>
        <w:adjustRightInd w:val="0"/>
        <w:spacing w:line="360" w:lineRule="auto"/>
        <w:ind w:firstLine="480" w:firstLineChars="200"/>
        <w:jc w:val="left"/>
        <w:rPr>
          <w:rFonts w:cs="宋体" w:asciiTheme="majorEastAsia" w:hAnsiTheme="majorEastAsia" w:eastAsiaTheme="majorEastAsia"/>
          <w:color w:val="000000" w:themeColor="text1"/>
          <w:kern w:val="0"/>
          <w:sz w:val="24"/>
          <w:lang w:val="zh-CN"/>
        </w:rPr>
      </w:pPr>
      <w:r>
        <w:rPr>
          <w:rFonts w:hint="eastAsia" w:cs="宋体" w:asciiTheme="majorEastAsia" w:hAnsiTheme="majorEastAsia" w:eastAsiaTheme="majorEastAsia"/>
          <w:sz w:val="24"/>
        </w:rPr>
        <w:t>本授权委托书声明：我</w:t>
      </w:r>
      <w:r>
        <w:rPr>
          <w:rFonts w:hint="eastAsia" w:cs="宋体" w:asciiTheme="majorEastAsia" w:hAnsiTheme="majorEastAsia" w:eastAsiaTheme="majorEastAsia"/>
          <w:sz w:val="24"/>
          <w:u w:val="single"/>
        </w:rPr>
        <w:t xml:space="preserve">   （姓名）  </w:t>
      </w:r>
      <w:r>
        <w:rPr>
          <w:rFonts w:hint="eastAsia" w:cs="宋体" w:asciiTheme="majorEastAsia" w:hAnsiTheme="majorEastAsia" w:eastAsiaTheme="majorEastAsia"/>
          <w:sz w:val="24"/>
        </w:rPr>
        <w:t>系</w:t>
      </w:r>
      <w:r>
        <w:rPr>
          <w:rFonts w:hint="eastAsia" w:cs="宋体" w:asciiTheme="majorEastAsia" w:hAnsiTheme="majorEastAsia" w:eastAsiaTheme="majorEastAsia"/>
          <w:sz w:val="24"/>
          <w:u w:val="single"/>
        </w:rPr>
        <w:t xml:space="preserve">  （供应商名称）  </w:t>
      </w:r>
      <w:r>
        <w:rPr>
          <w:rFonts w:hint="eastAsia" w:cs="宋体" w:asciiTheme="majorEastAsia" w:hAnsiTheme="majorEastAsia" w:eastAsiaTheme="majorEastAsia"/>
          <w:sz w:val="24"/>
        </w:rPr>
        <w:t>法定代表人，现授权委托</w:t>
      </w:r>
      <w:r>
        <w:rPr>
          <w:rFonts w:hint="eastAsia" w:cs="宋体" w:asciiTheme="majorEastAsia" w:hAnsiTheme="majorEastAsia" w:eastAsiaTheme="majorEastAsia"/>
          <w:sz w:val="24"/>
          <w:u w:val="single"/>
        </w:rPr>
        <w:t>（姓名、职务或职称）</w:t>
      </w:r>
      <w:r>
        <w:rPr>
          <w:rFonts w:hint="eastAsia" w:cs="宋体" w:asciiTheme="majorEastAsia" w:hAnsiTheme="majorEastAsia" w:eastAsiaTheme="majorEastAsia"/>
          <w:sz w:val="24"/>
        </w:rPr>
        <w:t>为我单位本次项目的全权代表，以本单位的名义参加临沂鼎泰招标有限公司组织</w:t>
      </w:r>
      <w:r>
        <w:rPr>
          <w:rFonts w:hint="eastAsia" w:cs="宋体" w:asciiTheme="majorEastAsia" w:hAnsiTheme="majorEastAsia" w:eastAsiaTheme="majorEastAsia"/>
          <w:sz w:val="24"/>
          <w:lang w:eastAsia="zh-CN"/>
        </w:rPr>
        <w:t>临沂市妇幼保健院院内指示导引系统项目</w:t>
      </w:r>
      <w:r>
        <w:rPr>
          <w:rFonts w:hint="eastAsia" w:cs="宋体" w:asciiTheme="majorEastAsia" w:hAnsiTheme="majorEastAsia" w:eastAsiaTheme="majorEastAsia"/>
          <w:color w:val="000000" w:themeColor="text1"/>
          <w:sz w:val="24"/>
        </w:rPr>
        <w:t>（项目编号：</w:t>
      </w:r>
      <w:r>
        <w:rPr>
          <w:rFonts w:hint="eastAsia" w:cs="宋体" w:asciiTheme="majorEastAsia" w:hAnsiTheme="majorEastAsia" w:eastAsiaTheme="majorEastAsia"/>
          <w:color w:val="000000" w:themeColor="text1"/>
          <w:sz w:val="24"/>
          <w:lang w:eastAsia="zh-CN"/>
        </w:rPr>
        <w:t>SDGP371300201902001005</w:t>
      </w:r>
      <w:r>
        <w:rPr>
          <w:rFonts w:hint="eastAsia" w:cs="宋体" w:asciiTheme="majorEastAsia" w:hAnsiTheme="majorEastAsia" w:eastAsiaTheme="majorEastAsia"/>
          <w:color w:val="000000" w:themeColor="text1"/>
          <w:sz w:val="24"/>
        </w:rPr>
        <w:t>）过程中所签署的一切文件和处理与之有关的一切事务，我均予以承认。</w:t>
      </w:r>
    </w:p>
    <w:p>
      <w:pPr>
        <w:spacing w:line="360" w:lineRule="auto"/>
        <w:ind w:firstLine="525"/>
        <w:rPr>
          <w:rFonts w:cs="宋体" w:asciiTheme="majorEastAsia" w:hAnsiTheme="majorEastAsia" w:eastAsiaTheme="majorEastAsia"/>
          <w:sz w:val="24"/>
        </w:rPr>
      </w:pPr>
      <w:r>
        <w:rPr>
          <w:rFonts w:hint="eastAsia" w:cs="宋体" w:asciiTheme="majorEastAsia" w:hAnsiTheme="majorEastAsia" w:eastAsiaTheme="majorEastAsia"/>
          <w:sz w:val="24"/>
        </w:rPr>
        <w:t>全权代表无权转让委托权。特此委托。</w:t>
      </w:r>
    </w:p>
    <w:p>
      <w:pPr>
        <w:spacing w:line="480" w:lineRule="exact"/>
        <w:rPr>
          <w:rFonts w:cs="宋体" w:asciiTheme="majorEastAsia" w:hAnsiTheme="majorEastAsia" w:eastAsiaTheme="majorEastAsia"/>
          <w:sz w:val="24"/>
        </w:rPr>
      </w:pPr>
    </w:p>
    <w:p>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(附贴全权代表人身份证复印件)</w:t>
      </w:r>
    </w:p>
    <w:p>
      <w:pPr>
        <w:spacing w:line="480" w:lineRule="exact"/>
        <w:rPr>
          <w:rFonts w:cs="宋体" w:asciiTheme="majorEastAsia" w:hAnsiTheme="majorEastAsia" w:eastAsiaTheme="majorEastAsia"/>
          <w:sz w:val="24"/>
        </w:rPr>
      </w:pPr>
    </w:p>
    <w:p>
      <w:pPr>
        <w:spacing w:line="480" w:lineRule="exact"/>
        <w:rPr>
          <w:rFonts w:cs="宋体" w:asciiTheme="majorEastAsia" w:hAnsiTheme="majorEastAsia" w:eastAsiaTheme="majorEastAsia"/>
          <w:sz w:val="24"/>
        </w:rPr>
      </w:pPr>
    </w:p>
    <w:p>
      <w:pPr>
        <w:spacing w:line="480" w:lineRule="exact"/>
        <w:jc w:val="center"/>
        <w:rPr>
          <w:rFonts w:cs="宋体" w:asciiTheme="majorEastAsia" w:hAnsiTheme="majorEastAsia" w:eastAsiaTheme="majorEastAsia"/>
          <w:sz w:val="24"/>
        </w:rPr>
      </w:pPr>
    </w:p>
    <w:p>
      <w:pPr>
        <w:spacing w:line="480" w:lineRule="exact"/>
        <w:rPr>
          <w:rFonts w:cs="宋体" w:asciiTheme="majorEastAsia" w:hAnsiTheme="majorEastAsia" w:eastAsiaTheme="majorEastAsia"/>
          <w:sz w:val="24"/>
        </w:rPr>
      </w:pPr>
      <w:r>
        <w:rPr>
          <w:rFonts w:hint="eastAsia" w:cs="宋体" w:asciiTheme="majorEastAsia" w:hAnsiTheme="majorEastAsia" w:eastAsiaTheme="majorEastAsia"/>
          <w:sz w:val="24"/>
        </w:rPr>
        <w:t>全权代表姓名：            性 别：           年 龄：</w:t>
      </w:r>
    </w:p>
    <w:p>
      <w:pPr>
        <w:spacing w:line="480" w:lineRule="exact"/>
        <w:rPr>
          <w:rFonts w:cs="宋体" w:asciiTheme="majorEastAsia" w:hAnsiTheme="majorEastAsia" w:eastAsiaTheme="majorEastAsia"/>
          <w:sz w:val="24"/>
        </w:rPr>
      </w:pPr>
      <w:r>
        <w:rPr>
          <w:rFonts w:hint="eastAsia" w:cs="宋体" w:asciiTheme="majorEastAsia" w:hAnsiTheme="majorEastAsia" w:eastAsiaTheme="majorEastAsia"/>
          <w:sz w:val="24"/>
        </w:rPr>
        <w:t>单  位：                  部 门：           职 务：</w:t>
      </w:r>
    </w:p>
    <w:p>
      <w:pPr>
        <w:spacing w:line="480" w:lineRule="exact"/>
        <w:rPr>
          <w:rFonts w:cs="宋体" w:asciiTheme="majorEastAsia" w:hAnsiTheme="majorEastAsia" w:eastAsiaTheme="majorEastAsia"/>
          <w:sz w:val="24"/>
        </w:rPr>
      </w:pPr>
    </w:p>
    <w:p>
      <w:pPr>
        <w:spacing w:line="480" w:lineRule="exact"/>
        <w:rPr>
          <w:rFonts w:cs="宋体" w:asciiTheme="majorEastAsia" w:hAnsiTheme="majorEastAsia" w:eastAsiaTheme="majorEastAsia"/>
          <w:sz w:val="24"/>
        </w:rPr>
      </w:pPr>
    </w:p>
    <w:p>
      <w:pPr>
        <w:spacing w:line="480" w:lineRule="exact"/>
        <w:rPr>
          <w:rFonts w:cs="宋体" w:asciiTheme="majorEastAsia" w:hAnsiTheme="majorEastAsia" w:eastAsiaTheme="majorEastAsia"/>
          <w:sz w:val="24"/>
        </w:rPr>
      </w:pPr>
      <w:r>
        <w:rPr>
          <w:rFonts w:hint="eastAsia" w:cs="宋体" w:asciiTheme="majorEastAsia" w:hAnsiTheme="majorEastAsia" w:eastAsiaTheme="majorEastAsia"/>
          <w:sz w:val="24"/>
        </w:rPr>
        <w:t>供应商 （公章）：</w:t>
      </w:r>
    </w:p>
    <w:p>
      <w:pPr>
        <w:spacing w:line="480" w:lineRule="exact"/>
        <w:rPr>
          <w:rFonts w:cs="宋体" w:asciiTheme="majorEastAsia" w:hAnsiTheme="majorEastAsia" w:eastAsiaTheme="majorEastAsia"/>
          <w:sz w:val="24"/>
        </w:rPr>
      </w:pPr>
      <w:r>
        <w:rPr>
          <w:rFonts w:hint="eastAsia" w:cs="宋体" w:asciiTheme="majorEastAsia" w:hAnsiTheme="majorEastAsia" w:eastAsiaTheme="majorEastAsia"/>
          <w:sz w:val="24"/>
        </w:rPr>
        <w:t>法定代表人签字：</w:t>
      </w:r>
    </w:p>
    <w:p>
      <w:pPr>
        <w:spacing w:line="480" w:lineRule="exact"/>
        <w:rPr>
          <w:rFonts w:cs="宋体" w:asciiTheme="majorEastAsia" w:hAnsiTheme="majorEastAsia" w:eastAsiaTheme="majorEastAsia"/>
          <w:sz w:val="24"/>
        </w:rPr>
      </w:pPr>
    </w:p>
    <w:p>
      <w:pPr>
        <w:spacing w:line="480" w:lineRule="exact"/>
        <w:rPr>
          <w:rFonts w:cs="宋体" w:asciiTheme="majorEastAsia" w:hAnsiTheme="majorEastAsia" w:eastAsiaTheme="majorEastAsia"/>
          <w:sz w:val="24"/>
        </w:rPr>
      </w:pPr>
      <w:r>
        <w:rPr>
          <w:rFonts w:hint="eastAsia" w:cs="宋体" w:asciiTheme="majorEastAsia" w:hAnsiTheme="majorEastAsia" w:eastAsiaTheme="majorEastAsia"/>
          <w:sz w:val="24"/>
        </w:rPr>
        <w:t xml:space="preserve">      </w:t>
      </w:r>
    </w:p>
    <w:p>
      <w:pPr>
        <w:spacing w:line="480" w:lineRule="exact"/>
        <w:ind w:firstLine="120" w:firstLineChars="50"/>
        <w:rPr>
          <w:rFonts w:cs="宋体" w:asciiTheme="majorEastAsia" w:hAnsiTheme="majorEastAsia" w:eastAsiaTheme="majorEastAsia"/>
          <w:sz w:val="24"/>
        </w:rPr>
        <w:sectPr>
          <w:pgSz w:w="11906" w:h="16838"/>
          <w:pgMar w:top="1440" w:right="1418" w:bottom="1440" w:left="1418" w:header="851" w:footer="992" w:gutter="0"/>
          <w:pgNumType w:fmt="decimal"/>
          <w:cols w:space="720" w:num="1"/>
          <w:docGrid w:linePitch="312" w:charSpace="0"/>
        </w:sectPr>
      </w:pPr>
      <w:r>
        <w:rPr>
          <w:rFonts w:hint="eastAsia" w:cs="宋体" w:asciiTheme="majorEastAsia" w:hAnsiTheme="majorEastAsia" w:eastAsiaTheme="majorEastAsia"/>
          <w:sz w:val="24"/>
        </w:rPr>
        <w:t xml:space="preserve">                                                          年   月   日</w:t>
      </w:r>
    </w:p>
    <w:p>
      <w:pPr>
        <w:spacing w:line="4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附件三：</w:t>
      </w:r>
    </w:p>
    <w:p>
      <w:pPr>
        <w:spacing w:line="480" w:lineRule="exact"/>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开 标 一 览 表</w:t>
      </w:r>
    </w:p>
    <w:p>
      <w:pPr>
        <w:spacing w:line="480" w:lineRule="exact"/>
        <w:ind w:firstLine="360" w:firstLineChars="150"/>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lang w:eastAsia="zh-CN"/>
        </w:rPr>
        <w:t>临沂市妇幼保健院院内指示导引系统项目</w:t>
      </w:r>
    </w:p>
    <w:p>
      <w:pPr>
        <w:spacing w:line="480" w:lineRule="exact"/>
        <w:ind w:firstLine="240" w:firstLineChars="100"/>
        <w:rPr>
          <w:rFonts w:hint="eastAsia" w:cs="宋体" w:asciiTheme="majorEastAsia" w:hAnsiTheme="majorEastAsia" w:eastAsiaTheme="majorEastAsia"/>
          <w:color w:val="000000" w:themeColor="text1"/>
          <w:sz w:val="24"/>
          <w:lang w:eastAsia="zh-CN"/>
        </w:rPr>
      </w:pPr>
      <w:r>
        <w:rPr>
          <w:rFonts w:hint="eastAsia" w:cs="宋体" w:asciiTheme="majorEastAsia" w:hAnsiTheme="majorEastAsia" w:eastAsiaTheme="majorEastAsia"/>
          <w:color w:val="000000" w:themeColor="text1"/>
          <w:sz w:val="24"/>
        </w:rPr>
        <w:t xml:space="preserve"> 项目编号: </w:t>
      </w:r>
      <w:r>
        <w:rPr>
          <w:rFonts w:hint="eastAsia" w:cs="宋体" w:asciiTheme="majorEastAsia" w:hAnsiTheme="majorEastAsia" w:eastAsiaTheme="majorEastAsia"/>
          <w:color w:val="000000" w:themeColor="text1"/>
          <w:sz w:val="24"/>
          <w:lang w:eastAsia="zh-CN"/>
        </w:rPr>
        <w:t>SDGP371300201902001005</w:t>
      </w:r>
    </w:p>
    <w:tbl>
      <w:tblPr>
        <w:tblStyle w:val="5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888" w:type="dxa"/>
            <w:vAlign w:val="center"/>
          </w:tcPr>
          <w:p>
            <w:pPr>
              <w:jc w:val="center"/>
              <w:rPr>
                <w:rFonts w:ascii="宋体" w:cs="宋体"/>
                <w:bCs/>
                <w:sz w:val="24"/>
                <w:szCs w:val="24"/>
              </w:rPr>
            </w:pPr>
            <w:r>
              <w:rPr>
                <w:rFonts w:hint="eastAsia" w:ascii="宋体" w:hAnsi="宋体" w:cs="宋体"/>
                <w:bCs/>
                <w:sz w:val="24"/>
                <w:szCs w:val="24"/>
              </w:rPr>
              <w:t>响应人名称</w:t>
            </w:r>
          </w:p>
        </w:tc>
        <w:tc>
          <w:tcPr>
            <w:tcW w:w="6807" w:type="dxa"/>
            <w:vAlign w:val="center"/>
          </w:tcPr>
          <w:p>
            <w:pPr>
              <w:rPr>
                <w:rFonts w:asci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1888" w:type="dxa"/>
            <w:vAlign w:val="center"/>
          </w:tcPr>
          <w:p>
            <w:pPr>
              <w:jc w:val="center"/>
              <w:rPr>
                <w:rFonts w:ascii="宋体" w:cs="宋体"/>
                <w:bCs/>
                <w:sz w:val="24"/>
                <w:szCs w:val="24"/>
              </w:rPr>
            </w:pPr>
            <w:r>
              <w:rPr>
                <w:rFonts w:hint="eastAsia" w:ascii="宋体" w:hAnsi="宋体" w:cs="宋体"/>
                <w:bCs/>
                <w:sz w:val="24"/>
                <w:szCs w:val="24"/>
              </w:rPr>
              <w:t>响应报价</w:t>
            </w:r>
          </w:p>
        </w:tc>
        <w:tc>
          <w:tcPr>
            <w:tcW w:w="6807" w:type="dxa"/>
            <w:vAlign w:val="center"/>
          </w:tcPr>
          <w:p>
            <w:pPr>
              <w:rPr>
                <w:rFonts w:ascii="宋体" w:cs="宋体"/>
                <w:bCs/>
                <w:sz w:val="24"/>
                <w:szCs w:val="24"/>
              </w:rPr>
            </w:pPr>
          </w:p>
          <w:p>
            <w:pPr>
              <w:rPr>
                <w:rFonts w:ascii="宋体" w:cs="宋体"/>
                <w:bCs/>
                <w:sz w:val="24"/>
                <w:szCs w:val="24"/>
              </w:rPr>
            </w:pPr>
            <w:r>
              <w:rPr>
                <w:rFonts w:hint="eastAsia" w:ascii="宋体" w:cs="宋体"/>
                <w:bCs/>
                <w:sz w:val="24"/>
                <w:szCs w:val="24"/>
              </w:rPr>
              <w:t>小写：</w:t>
            </w:r>
          </w:p>
          <w:p>
            <w:pPr>
              <w:rPr>
                <w:rFonts w:ascii="宋体" w:cs="宋体"/>
                <w:bCs/>
                <w:sz w:val="24"/>
                <w:szCs w:val="24"/>
              </w:rPr>
            </w:pPr>
          </w:p>
          <w:p>
            <w:r>
              <w:rPr>
                <w:rFonts w:hint="eastAsia" w:ascii="宋体" w:cs="宋体"/>
                <w:bCs/>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1888" w:type="dxa"/>
            <w:vAlign w:val="center"/>
          </w:tcPr>
          <w:p>
            <w:pPr>
              <w:spacing w:line="460" w:lineRule="exact"/>
              <w:jc w:val="center"/>
              <w:rPr>
                <w:rFonts w:ascii="宋体" w:cs="宋体"/>
                <w:sz w:val="24"/>
                <w:szCs w:val="24"/>
              </w:rPr>
            </w:pPr>
            <w:r>
              <w:rPr>
                <w:rFonts w:hint="eastAsia" w:ascii="宋体" w:hAnsi="宋体" w:cs="宋体"/>
                <w:sz w:val="24"/>
                <w:szCs w:val="24"/>
              </w:rPr>
              <w:t>质量标准</w:t>
            </w:r>
          </w:p>
        </w:tc>
        <w:tc>
          <w:tcPr>
            <w:tcW w:w="6807" w:type="dxa"/>
          </w:tcPr>
          <w:p>
            <w:pPr>
              <w:spacing w:line="46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888" w:type="dxa"/>
            <w:vAlign w:val="center"/>
          </w:tcPr>
          <w:p>
            <w:pPr>
              <w:spacing w:line="460" w:lineRule="exact"/>
              <w:jc w:val="center"/>
              <w:rPr>
                <w:rFonts w:ascii="宋体" w:cs="宋体"/>
                <w:sz w:val="24"/>
                <w:szCs w:val="24"/>
              </w:rPr>
            </w:pPr>
            <w:r>
              <w:rPr>
                <w:rFonts w:hint="eastAsia" w:ascii="宋体" w:hAnsi="宋体" w:cs="宋体"/>
                <w:sz w:val="24"/>
                <w:szCs w:val="24"/>
              </w:rPr>
              <w:t>服务时间</w:t>
            </w:r>
          </w:p>
        </w:tc>
        <w:tc>
          <w:tcPr>
            <w:tcW w:w="6807" w:type="dxa"/>
            <w:vAlign w:val="center"/>
          </w:tcPr>
          <w:p>
            <w:pPr>
              <w:spacing w:line="46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888" w:type="dxa"/>
            <w:vAlign w:val="center"/>
          </w:tcPr>
          <w:p>
            <w:pPr>
              <w:spacing w:line="400" w:lineRule="exact"/>
              <w:jc w:val="center"/>
              <w:rPr>
                <w:rFonts w:ascii="宋体" w:cs="宋体"/>
                <w:sz w:val="24"/>
                <w:szCs w:val="24"/>
              </w:rPr>
            </w:pPr>
            <w:r>
              <w:rPr>
                <w:rFonts w:hint="eastAsia" w:ascii="宋体" w:hAnsi="宋体" w:cs="宋体"/>
                <w:sz w:val="24"/>
                <w:szCs w:val="24"/>
              </w:rPr>
              <w:t>对磋商文件</w:t>
            </w:r>
          </w:p>
          <w:p>
            <w:pPr>
              <w:spacing w:line="400" w:lineRule="exact"/>
              <w:jc w:val="center"/>
              <w:rPr>
                <w:rFonts w:ascii="宋体" w:cs="宋体"/>
                <w:sz w:val="24"/>
                <w:szCs w:val="24"/>
              </w:rPr>
            </w:pPr>
            <w:r>
              <w:rPr>
                <w:rFonts w:hint="eastAsia" w:ascii="宋体" w:hAnsi="宋体" w:cs="宋体"/>
                <w:sz w:val="24"/>
                <w:szCs w:val="24"/>
              </w:rPr>
              <w:t>及合同条款</w:t>
            </w:r>
          </w:p>
          <w:p>
            <w:pPr>
              <w:spacing w:line="400" w:lineRule="exact"/>
              <w:jc w:val="center"/>
              <w:rPr>
                <w:rFonts w:ascii="宋体" w:cs="宋体"/>
                <w:sz w:val="24"/>
                <w:szCs w:val="24"/>
              </w:rPr>
            </w:pPr>
            <w:r>
              <w:rPr>
                <w:rFonts w:hint="eastAsia" w:ascii="宋体" w:hAnsi="宋体" w:cs="宋体"/>
                <w:sz w:val="24"/>
                <w:szCs w:val="24"/>
              </w:rPr>
              <w:t>的认同程度</w:t>
            </w:r>
          </w:p>
        </w:tc>
        <w:tc>
          <w:tcPr>
            <w:tcW w:w="6807" w:type="dxa"/>
            <w:vAlign w:val="center"/>
          </w:tcPr>
          <w:p>
            <w:pPr>
              <w:spacing w:line="46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88" w:type="dxa"/>
            <w:vAlign w:val="center"/>
          </w:tcPr>
          <w:p>
            <w:pPr>
              <w:spacing w:line="460" w:lineRule="exact"/>
              <w:jc w:val="center"/>
              <w:rPr>
                <w:rFonts w:ascii="宋体" w:cs="宋体"/>
                <w:sz w:val="24"/>
                <w:szCs w:val="24"/>
              </w:rPr>
            </w:pPr>
            <w:r>
              <w:rPr>
                <w:rFonts w:hint="eastAsia" w:ascii="宋体" w:hAnsi="宋体" w:cs="宋体"/>
                <w:sz w:val="24"/>
                <w:szCs w:val="24"/>
              </w:rPr>
              <w:t>备注</w:t>
            </w:r>
          </w:p>
        </w:tc>
        <w:tc>
          <w:tcPr>
            <w:tcW w:w="6807" w:type="dxa"/>
            <w:vAlign w:val="center"/>
          </w:tcPr>
          <w:p>
            <w:pPr>
              <w:spacing w:line="460" w:lineRule="exact"/>
              <w:jc w:val="center"/>
              <w:rPr>
                <w:rFonts w:ascii="宋体" w:cs="宋体"/>
                <w:sz w:val="24"/>
                <w:szCs w:val="24"/>
              </w:rPr>
            </w:pPr>
          </w:p>
        </w:tc>
      </w:tr>
    </w:tbl>
    <w:p>
      <w:pPr>
        <w:spacing w:line="480" w:lineRule="exact"/>
        <w:rPr>
          <w:rFonts w:cs="宋体" w:asciiTheme="majorEastAsia" w:hAnsiTheme="majorEastAsia" w:eastAsiaTheme="majorEastAsia"/>
          <w:sz w:val="24"/>
        </w:rPr>
      </w:pPr>
    </w:p>
    <w:p>
      <w:pPr>
        <w:spacing w:line="480" w:lineRule="exact"/>
        <w:rPr>
          <w:rFonts w:cs="宋体" w:asciiTheme="majorEastAsia" w:hAnsiTheme="majorEastAsia" w:eastAsiaTheme="majorEastAsia"/>
          <w:sz w:val="24"/>
        </w:rPr>
      </w:pPr>
      <w:r>
        <w:rPr>
          <w:rFonts w:hint="eastAsia" w:cs="宋体" w:asciiTheme="majorEastAsia" w:hAnsiTheme="majorEastAsia" w:eastAsiaTheme="majorEastAsia"/>
          <w:sz w:val="24"/>
        </w:rPr>
        <w:t xml:space="preserve"> 注：</w:t>
      </w:r>
    </w:p>
    <w:p>
      <w:pPr>
        <w:spacing w:line="480" w:lineRule="exact"/>
        <w:ind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1、报价单位为人民币元；</w:t>
      </w:r>
    </w:p>
    <w:p>
      <w:pPr>
        <w:spacing w:line="480" w:lineRule="exact"/>
        <w:ind w:firstLine="236" w:firstLineChars="98"/>
        <w:rPr>
          <w:rFonts w:cs="宋体" w:asciiTheme="majorEastAsia" w:hAnsiTheme="majorEastAsia" w:eastAsiaTheme="majorEastAsia"/>
          <w:sz w:val="24"/>
        </w:rPr>
      </w:pPr>
      <w:r>
        <w:rPr>
          <w:rFonts w:hint="eastAsia" w:cs="宋体" w:asciiTheme="majorEastAsia" w:hAnsiTheme="majorEastAsia" w:eastAsiaTheme="majorEastAsia"/>
          <w:b/>
          <w:bCs/>
          <w:sz w:val="24"/>
        </w:rPr>
        <w:t>2、报价含项目完成并验收合格前的所有费用（至最终用户）</w:t>
      </w:r>
      <w:r>
        <w:rPr>
          <w:rFonts w:hint="eastAsia" w:cs="宋体" w:asciiTheme="majorEastAsia" w:hAnsiTheme="majorEastAsia" w:eastAsiaTheme="majorEastAsia"/>
          <w:sz w:val="24"/>
        </w:rPr>
        <w:t>；</w:t>
      </w:r>
    </w:p>
    <w:p>
      <w:pPr>
        <w:spacing w:line="480" w:lineRule="exact"/>
        <w:ind w:firstLine="235" w:firstLineChars="98"/>
        <w:rPr>
          <w:rFonts w:cs="宋体" w:asciiTheme="majorEastAsia" w:hAnsiTheme="majorEastAsia" w:eastAsiaTheme="majorEastAsia"/>
          <w:sz w:val="24"/>
        </w:rPr>
      </w:pPr>
      <w:r>
        <w:rPr>
          <w:rFonts w:hint="eastAsia" w:cs="宋体" w:asciiTheme="majorEastAsia" w:hAnsiTheme="majorEastAsia" w:eastAsiaTheme="majorEastAsia"/>
          <w:sz w:val="24"/>
        </w:rPr>
        <w:t>3、表格不够可按相同格式加以扩展。</w:t>
      </w:r>
    </w:p>
    <w:p>
      <w:pPr>
        <w:spacing w:line="480" w:lineRule="exact"/>
        <w:rPr>
          <w:rFonts w:cs="宋体" w:asciiTheme="majorEastAsia" w:hAnsiTheme="majorEastAsia" w:eastAsiaTheme="majorEastAsia"/>
          <w:sz w:val="24"/>
        </w:rPr>
      </w:pPr>
    </w:p>
    <w:p>
      <w:pPr>
        <w:spacing w:line="480" w:lineRule="exact"/>
        <w:ind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供应商 （公章）：</w:t>
      </w:r>
    </w:p>
    <w:p>
      <w:pPr>
        <w:spacing w:line="480" w:lineRule="exact"/>
        <w:ind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法定代表人或供应商全权代表：（签字或印章）</w:t>
      </w:r>
    </w:p>
    <w:p>
      <w:pPr>
        <w:spacing w:line="480" w:lineRule="exact"/>
        <w:rPr>
          <w:rFonts w:cs="宋体" w:asciiTheme="majorEastAsia" w:hAnsiTheme="majorEastAsia" w:eastAsiaTheme="majorEastAsia"/>
          <w:sz w:val="24"/>
        </w:rPr>
      </w:pPr>
    </w:p>
    <w:p>
      <w:pPr>
        <w:spacing w:line="480" w:lineRule="exact"/>
        <w:rPr>
          <w:rFonts w:cs="宋体" w:asciiTheme="majorEastAsia" w:hAnsiTheme="majorEastAsia" w:eastAsiaTheme="majorEastAsia"/>
          <w:sz w:val="24"/>
        </w:rPr>
        <w:sectPr>
          <w:pgSz w:w="11906" w:h="16838"/>
          <w:pgMar w:top="1440" w:right="1418" w:bottom="1440" w:left="1418" w:header="851" w:footer="992" w:gutter="0"/>
          <w:pgNumType w:fmt="decimal"/>
          <w:cols w:space="720" w:num="1"/>
          <w:docGrid w:linePitch="312" w:charSpace="0"/>
        </w:sectPr>
      </w:pPr>
      <w:r>
        <w:rPr>
          <w:rFonts w:hint="eastAsia" w:cs="宋体" w:asciiTheme="majorEastAsia" w:hAnsiTheme="majorEastAsia" w:eastAsiaTheme="majorEastAsia"/>
          <w:sz w:val="24"/>
        </w:rPr>
        <w:t xml:space="preserve">                                                            年   月   日</w:t>
      </w:r>
    </w:p>
    <w:p>
      <w:pPr>
        <w:spacing w:line="480" w:lineRule="exact"/>
        <w:rPr>
          <w:rFonts w:ascii="宋体" w:hAnsi="宋体" w:cs="宋体"/>
          <w:color w:val="000000" w:themeColor="text1"/>
          <w:sz w:val="24"/>
          <w:szCs w:val="24"/>
        </w:rPr>
      </w:pPr>
      <w:r>
        <w:rPr>
          <w:rFonts w:hint="eastAsia" w:ascii="宋体" w:hAnsi="宋体" w:cs="宋体"/>
          <w:color w:val="000000" w:themeColor="text1"/>
          <w:sz w:val="24"/>
          <w:szCs w:val="24"/>
        </w:rPr>
        <w:t>附件四：</w:t>
      </w:r>
    </w:p>
    <w:p>
      <w:pPr>
        <w:tabs>
          <w:tab w:val="left" w:pos="764"/>
        </w:tabs>
        <w:ind w:right="1360"/>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 xml:space="preserve">         明细报价一览表</w:t>
      </w:r>
    </w:p>
    <w:p>
      <w:pPr>
        <w:tabs>
          <w:tab w:val="left" w:pos="764"/>
        </w:tabs>
        <w:ind w:left="1470" w:leftChars="700" w:right="1360" w:firstLine="2072" w:firstLineChars="645"/>
        <w:rPr>
          <w:rFonts w:ascii="仿宋" w:hAnsi="仿宋" w:eastAsia="仿宋"/>
          <w:b/>
          <w:color w:val="000000" w:themeColor="text1"/>
          <w:sz w:val="32"/>
        </w:rPr>
      </w:pPr>
    </w:p>
    <w:p>
      <w:pPr>
        <w:spacing w:line="480" w:lineRule="exact"/>
        <w:ind w:firstLine="360" w:firstLineChars="150"/>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lang w:eastAsia="zh-CN"/>
        </w:rPr>
        <w:t>临沂市妇幼保健院院内指示导引系统项目</w:t>
      </w:r>
    </w:p>
    <w:p>
      <w:pPr>
        <w:spacing w:line="480" w:lineRule="exact"/>
        <w:ind w:firstLine="240" w:firstLineChars="100"/>
        <w:rPr>
          <w:rFonts w:ascii="宋体" w:hAnsi="宋体" w:cs="宋体"/>
          <w:color w:val="000000" w:themeColor="text1"/>
          <w:szCs w:val="21"/>
        </w:rPr>
      </w:pPr>
      <w:r>
        <w:rPr>
          <w:rFonts w:hint="eastAsia" w:cs="宋体" w:asciiTheme="majorEastAsia" w:hAnsiTheme="majorEastAsia" w:eastAsiaTheme="majorEastAsia"/>
          <w:color w:val="000000" w:themeColor="text1"/>
          <w:sz w:val="24"/>
        </w:rPr>
        <w:t xml:space="preserve"> 项目编号: </w:t>
      </w:r>
      <w:r>
        <w:rPr>
          <w:rFonts w:hint="eastAsia" w:cs="宋体" w:asciiTheme="majorEastAsia" w:hAnsiTheme="majorEastAsia" w:eastAsiaTheme="majorEastAsia"/>
          <w:color w:val="000000" w:themeColor="text1"/>
          <w:sz w:val="24"/>
          <w:lang w:eastAsia="zh-CN"/>
        </w:rPr>
        <w:t>SDGP371300201902001005</w:t>
      </w:r>
      <w:r>
        <w:rPr>
          <w:rFonts w:hint="eastAsia" w:ascii="宋体" w:hAnsi="宋体" w:cs="宋体"/>
          <w:color w:val="000000" w:themeColor="text1"/>
          <w:szCs w:val="21"/>
        </w:rPr>
        <w:t xml:space="preserve"> </w:t>
      </w:r>
    </w:p>
    <w:tbl>
      <w:tblPr>
        <w:tblStyle w:val="56"/>
        <w:tblW w:w="10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411"/>
        <w:gridCol w:w="1560"/>
        <w:gridCol w:w="1364"/>
        <w:gridCol w:w="1077"/>
        <w:gridCol w:w="1173"/>
        <w:gridCol w:w="974"/>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15" w:type="dxa"/>
            <w:vAlign w:val="center"/>
          </w:tcPr>
          <w:p>
            <w:pPr>
              <w:spacing w:line="480" w:lineRule="exact"/>
              <w:rPr>
                <w:rFonts w:ascii="宋体" w:hAnsi="宋体" w:cs="宋体"/>
                <w:sz w:val="24"/>
              </w:rPr>
            </w:pPr>
            <w:r>
              <w:rPr>
                <w:rFonts w:hint="eastAsia" w:ascii="宋体" w:hAnsi="宋体" w:cs="宋体"/>
                <w:sz w:val="24"/>
              </w:rPr>
              <w:t>序号</w:t>
            </w:r>
          </w:p>
        </w:tc>
        <w:tc>
          <w:tcPr>
            <w:tcW w:w="2411" w:type="dxa"/>
            <w:vAlign w:val="center"/>
          </w:tcPr>
          <w:p>
            <w:pPr>
              <w:spacing w:line="480" w:lineRule="exact"/>
              <w:rPr>
                <w:rFonts w:ascii="宋体" w:hAnsi="宋体" w:cs="宋体"/>
                <w:sz w:val="24"/>
              </w:rPr>
            </w:pPr>
            <w:r>
              <w:rPr>
                <w:rFonts w:hint="eastAsia" w:ascii="宋体" w:hAnsi="宋体" w:cs="宋体"/>
                <w:sz w:val="24"/>
              </w:rPr>
              <w:t>名称</w:t>
            </w:r>
          </w:p>
        </w:tc>
        <w:tc>
          <w:tcPr>
            <w:tcW w:w="1560" w:type="dxa"/>
            <w:vAlign w:val="center"/>
          </w:tcPr>
          <w:p>
            <w:pPr>
              <w:spacing w:line="480" w:lineRule="exact"/>
              <w:rPr>
                <w:rFonts w:ascii="宋体" w:hAnsi="宋体" w:cs="宋体"/>
                <w:sz w:val="24"/>
              </w:rPr>
            </w:pPr>
            <w:r>
              <w:rPr>
                <w:rFonts w:hint="eastAsia" w:ascii="宋体" w:hAnsi="宋体" w:cs="宋体"/>
                <w:sz w:val="24"/>
              </w:rPr>
              <w:t>详细说明</w:t>
            </w:r>
          </w:p>
        </w:tc>
        <w:tc>
          <w:tcPr>
            <w:tcW w:w="1364" w:type="dxa"/>
            <w:vAlign w:val="center"/>
          </w:tcPr>
          <w:p>
            <w:pPr>
              <w:spacing w:line="480" w:lineRule="exact"/>
              <w:rPr>
                <w:rFonts w:hint="eastAsia" w:ascii="宋体" w:hAnsi="宋体" w:eastAsia="宋体" w:cs="宋体"/>
                <w:sz w:val="24"/>
                <w:lang w:val="en-US" w:eastAsia="zh-CN"/>
              </w:rPr>
            </w:pPr>
            <w:r>
              <w:rPr>
                <w:rFonts w:hint="eastAsia" w:ascii="宋体" w:hAnsi="宋体" w:cs="宋体"/>
                <w:sz w:val="24"/>
                <w:lang w:val="en-US" w:eastAsia="zh-CN"/>
              </w:rPr>
              <w:t>品牌</w:t>
            </w:r>
          </w:p>
        </w:tc>
        <w:tc>
          <w:tcPr>
            <w:tcW w:w="1077" w:type="dxa"/>
            <w:vAlign w:val="center"/>
          </w:tcPr>
          <w:p>
            <w:pPr>
              <w:spacing w:line="480" w:lineRule="exact"/>
              <w:rPr>
                <w:rFonts w:ascii="宋体" w:hAnsi="宋体" w:cs="宋体"/>
                <w:sz w:val="24"/>
              </w:rPr>
            </w:pPr>
            <w:r>
              <w:rPr>
                <w:rFonts w:hint="eastAsia" w:ascii="宋体" w:hAnsi="宋体" w:cs="宋体"/>
                <w:sz w:val="24"/>
              </w:rPr>
              <w:t>数量</w:t>
            </w:r>
          </w:p>
        </w:tc>
        <w:tc>
          <w:tcPr>
            <w:tcW w:w="1173" w:type="dxa"/>
            <w:vAlign w:val="center"/>
          </w:tcPr>
          <w:p>
            <w:pPr>
              <w:spacing w:line="480" w:lineRule="exact"/>
              <w:rPr>
                <w:rFonts w:ascii="宋体" w:hAnsi="宋体" w:cs="宋体"/>
                <w:sz w:val="24"/>
              </w:rPr>
            </w:pPr>
            <w:r>
              <w:rPr>
                <w:rFonts w:hint="eastAsia" w:ascii="宋体" w:hAnsi="宋体" w:cs="宋体"/>
                <w:sz w:val="24"/>
              </w:rPr>
              <w:t>单价</w:t>
            </w:r>
          </w:p>
        </w:tc>
        <w:tc>
          <w:tcPr>
            <w:tcW w:w="974" w:type="dxa"/>
            <w:vAlign w:val="center"/>
          </w:tcPr>
          <w:p>
            <w:pPr>
              <w:spacing w:line="480" w:lineRule="exact"/>
              <w:rPr>
                <w:rFonts w:ascii="宋体" w:hAnsi="宋体" w:cs="宋体"/>
                <w:sz w:val="24"/>
              </w:rPr>
            </w:pPr>
            <w:r>
              <w:rPr>
                <w:rFonts w:hint="eastAsia" w:ascii="宋体" w:hAnsi="宋体" w:cs="宋体"/>
                <w:sz w:val="24"/>
              </w:rPr>
              <w:t>合计</w:t>
            </w:r>
          </w:p>
        </w:tc>
        <w:tc>
          <w:tcPr>
            <w:tcW w:w="1612" w:type="dxa"/>
            <w:vAlign w:val="center"/>
          </w:tcPr>
          <w:p>
            <w:pPr>
              <w:spacing w:line="480" w:lineRule="exact"/>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15" w:type="dxa"/>
            <w:vAlign w:val="center"/>
          </w:tcPr>
          <w:p>
            <w:pPr>
              <w:numPr>
                <w:ilvl w:val="0"/>
                <w:numId w:val="21"/>
              </w:numPr>
              <w:spacing w:line="480" w:lineRule="exact"/>
              <w:rPr>
                <w:rFonts w:ascii="宋体" w:hAnsi="宋体" w:cs="宋体"/>
                <w:sz w:val="24"/>
              </w:rPr>
            </w:pPr>
          </w:p>
        </w:tc>
        <w:tc>
          <w:tcPr>
            <w:tcW w:w="2411" w:type="dxa"/>
            <w:vAlign w:val="center"/>
          </w:tcPr>
          <w:p>
            <w:pPr>
              <w:spacing w:line="480" w:lineRule="exact"/>
              <w:rPr>
                <w:rFonts w:ascii="宋体" w:hAnsi="宋体" w:cs="宋体"/>
                <w:sz w:val="24"/>
              </w:rPr>
            </w:pPr>
          </w:p>
        </w:tc>
        <w:tc>
          <w:tcPr>
            <w:tcW w:w="1560" w:type="dxa"/>
            <w:vAlign w:val="center"/>
          </w:tcPr>
          <w:p>
            <w:pPr>
              <w:spacing w:line="480" w:lineRule="exact"/>
              <w:rPr>
                <w:rFonts w:ascii="宋体" w:hAnsi="宋体" w:cs="宋体"/>
                <w:sz w:val="24"/>
              </w:rPr>
            </w:pPr>
          </w:p>
        </w:tc>
        <w:tc>
          <w:tcPr>
            <w:tcW w:w="1364" w:type="dxa"/>
            <w:vAlign w:val="center"/>
          </w:tcPr>
          <w:p>
            <w:pPr>
              <w:spacing w:line="480" w:lineRule="exact"/>
              <w:rPr>
                <w:rFonts w:ascii="宋体" w:hAnsi="宋体" w:cs="宋体"/>
                <w:sz w:val="24"/>
              </w:rPr>
            </w:pPr>
          </w:p>
        </w:tc>
        <w:tc>
          <w:tcPr>
            <w:tcW w:w="1077" w:type="dxa"/>
            <w:vAlign w:val="center"/>
          </w:tcPr>
          <w:p>
            <w:pPr>
              <w:spacing w:line="480" w:lineRule="exact"/>
              <w:rPr>
                <w:rFonts w:ascii="宋体" w:hAnsi="宋体" w:cs="宋体"/>
                <w:sz w:val="24"/>
              </w:rPr>
            </w:pPr>
          </w:p>
        </w:tc>
        <w:tc>
          <w:tcPr>
            <w:tcW w:w="1173" w:type="dxa"/>
            <w:vAlign w:val="center"/>
          </w:tcPr>
          <w:p>
            <w:pPr>
              <w:spacing w:line="480" w:lineRule="exact"/>
              <w:rPr>
                <w:rFonts w:ascii="宋体" w:hAnsi="宋体" w:cs="宋体"/>
                <w:sz w:val="24"/>
              </w:rPr>
            </w:pPr>
          </w:p>
        </w:tc>
        <w:tc>
          <w:tcPr>
            <w:tcW w:w="974" w:type="dxa"/>
            <w:vAlign w:val="center"/>
          </w:tcPr>
          <w:p>
            <w:pPr>
              <w:spacing w:line="480" w:lineRule="exact"/>
              <w:rPr>
                <w:rFonts w:ascii="宋体" w:hAnsi="宋体" w:cs="宋体"/>
                <w:sz w:val="24"/>
              </w:rPr>
            </w:pPr>
          </w:p>
        </w:tc>
        <w:tc>
          <w:tcPr>
            <w:tcW w:w="1612" w:type="dxa"/>
            <w:vAlign w:val="center"/>
          </w:tcPr>
          <w:p>
            <w:pPr>
              <w:spacing w:line="4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15" w:type="dxa"/>
            <w:vAlign w:val="center"/>
          </w:tcPr>
          <w:p>
            <w:pPr>
              <w:numPr>
                <w:ilvl w:val="0"/>
                <w:numId w:val="21"/>
              </w:numPr>
              <w:spacing w:line="480" w:lineRule="exact"/>
              <w:jc w:val="center"/>
              <w:rPr>
                <w:rFonts w:ascii="宋体" w:hAnsi="宋体" w:cs="宋体"/>
                <w:sz w:val="24"/>
              </w:rPr>
            </w:pPr>
          </w:p>
        </w:tc>
        <w:tc>
          <w:tcPr>
            <w:tcW w:w="2411" w:type="dxa"/>
            <w:vAlign w:val="center"/>
          </w:tcPr>
          <w:p>
            <w:pPr>
              <w:spacing w:line="480" w:lineRule="exact"/>
              <w:rPr>
                <w:rFonts w:ascii="宋体" w:hAnsi="宋体" w:cs="宋体"/>
                <w:sz w:val="24"/>
              </w:rPr>
            </w:pPr>
          </w:p>
        </w:tc>
        <w:tc>
          <w:tcPr>
            <w:tcW w:w="1560" w:type="dxa"/>
            <w:vAlign w:val="center"/>
          </w:tcPr>
          <w:p>
            <w:pPr>
              <w:spacing w:line="480" w:lineRule="exact"/>
              <w:rPr>
                <w:rFonts w:ascii="宋体" w:hAnsi="宋体" w:cs="宋体"/>
                <w:sz w:val="24"/>
              </w:rPr>
            </w:pPr>
          </w:p>
        </w:tc>
        <w:tc>
          <w:tcPr>
            <w:tcW w:w="1364" w:type="dxa"/>
            <w:vAlign w:val="center"/>
          </w:tcPr>
          <w:p>
            <w:pPr>
              <w:spacing w:line="480" w:lineRule="exact"/>
              <w:rPr>
                <w:rFonts w:ascii="宋体" w:hAnsi="宋体" w:cs="宋体"/>
                <w:sz w:val="24"/>
              </w:rPr>
            </w:pPr>
          </w:p>
        </w:tc>
        <w:tc>
          <w:tcPr>
            <w:tcW w:w="1077" w:type="dxa"/>
            <w:vAlign w:val="center"/>
          </w:tcPr>
          <w:p>
            <w:pPr>
              <w:spacing w:line="480" w:lineRule="exact"/>
              <w:rPr>
                <w:rFonts w:ascii="宋体" w:hAnsi="宋体" w:cs="宋体"/>
                <w:sz w:val="24"/>
              </w:rPr>
            </w:pPr>
          </w:p>
        </w:tc>
        <w:tc>
          <w:tcPr>
            <w:tcW w:w="1173" w:type="dxa"/>
            <w:vAlign w:val="center"/>
          </w:tcPr>
          <w:p>
            <w:pPr>
              <w:spacing w:line="480" w:lineRule="exact"/>
              <w:rPr>
                <w:rFonts w:ascii="宋体" w:hAnsi="宋体" w:cs="宋体"/>
                <w:sz w:val="24"/>
              </w:rPr>
            </w:pPr>
          </w:p>
        </w:tc>
        <w:tc>
          <w:tcPr>
            <w:tcW w:w="974" w:type="dxa"/>
            <w:vAlign w:val="center"/>
          </w:tcPr>
          <w:p>
            <w:pPr>
              <w:spacing w:line="480" w:lineRule="exact"/>
              <w:rPr>
                <w:rFonts w:ascii="宋体" w:hAnsi="宋体" w:cs="宋体"/>
                <w:sz w:val="24"/>
              </w:rPr>
            </w:pPr>
          </w:p>
        </w:tc>
        <w:tc>
          <w:tcPr>
            <w:tcW w:w="1612" w:type="dxa"/>
            <w:vAlign w:val="center"/>
          </w:tcPr>
          <w:p>
            <w:pPr>
              <w:spacing w:line="4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15" w:type="dxa"/>
            <w:vAlign w:val="center"/>
          </w:tcPr>
          <w:p>
            <w:pPr>
              <w:numPr>
                <w:ilvl w:val="0"/>
                <w:numId w:val="21"/>
              </w:numPr>
              <w:spacing w:line="480" w:lineRule="exact"/>
              <w:jc w:val="center"/>
              <w:rPr>
                <w:rFonts w:ascii="宋体" w:hAnsi="宋体" w:cs="宋体"/>
                <w:sz w:val="24"/>
              </w:rPr>
            </w:pPr>
          </w:p>
        </w:tc>
        <w:tc>
          <w:tcPr>
            <w:tcW w:w="2411" w:type="dxa"/>
            <w:vAlign w:val="center"/>
          </w:tcPr>
          <w:p>
            <w:pPr>
              <w:spacing w:line="480" w:lineRule="exact"/>
              <w:rPr>
                <w:rFonts w:ascii="宋体" w:hAnsi="宋体" w:cs="宋体"/>
                <w:sz w:val="24"/>
              </w:rPr>
            </w:pPr>
          </w:p>
        </w:tc>
        <w:tc>
          <w:tcPr>
            <w:tcW w:w="1560" w:type="dxa"/>
            <w:vAlign w:val="center"/>
          </w:tcPr>
          <w:p>
            <w:pPr>
              <w:spacing w:line="480" w:lineRule="exact"/>
              <w:rPr>
                <w:rFonts w:ascii="宋体" w:hAnsi="宋体" w:cs="宋体"/>
                <w:sz w:val="24"/>
              </w:rPr>
            </w:pPr>
          </w:p>
        </w:tc>
        <w:tc>
          <w:tcPr>
            <w:tcW w:w="1364" w:type="dxa"/>
            <w:vAlign w:val="center"/>
          </w:tcPr>
          <w:p>
            <w:pPr>
              <w:spacing w:line="480" w:lineRule="exact"/>
              <w:rPr>
                <w:rFonts w:ascii="宋体" w:hAnsi="宋体" w:cs="宋体"/>
                <w:sz w:val="24"/>
              </w:rPr>
            </w:pPr>
          </w:p>
        </w:tc>
        <w:tc>
          <w:tcPr>
            <w:tcW w:w="1077" w:type="dxa"/>
            <w:vAlign w:val="center"/>
          </w:tcPr>
          <w:p>
            <w:pPr>
              <w:spacing w:line="480" w:lineRule="exact"/>
              <w:rPr>
                <w:rFonts w:ascii="宋体" w:hAnsi="宋体" w:cs="宋体"/>
                <w:sz w:val="24"/>
              </w:rPr>
            </w:pPr>
          </w:p>
        </w:tc>
        <w:tc>
          <w:tcPr>
            <w:tcW w:w="1173" w:type="dxa"/>
            <w:vAlign w:val="center"/>
          </w:tcPr>
          <w:p>
            <w:pPr>
              <w:spacing w:line="480" w:lineRule="exact"/>
              <w:rPr>
                <w:rFonts w:ascii="宋体" w:hAnsi="宋体" w:cs="宋体"/>
                <w:sz w:val="24"/>
              </w:rPr>
            </w:pPr>
          </w:p>
        </w:tc>
        <w:tc>
          <w:tcPr>
            <w:tcW w:w="974" w:type="dxa"/>
            <w:vAlign w:val="center"/>
          </w:tcPr>
          <w:p>
            <w:pPr>
              <w:spacing w:line="480" w:lineRule="exact"/>
              <w:rPr>
                <w:rFonts w:ascii="宋体" w:hAnsi="宋体" w:cs="宋体"/>
                <w:sz w:val="24"/>
              </w:rPr>
            </w:pPr>
          </w:p>
        </w:tc>
        <w:tc>
          <w:tcPr>
            <w:tcW w:w="1612" w:type="dxa"/>
            <w:vAlign w:val="center"/>
          </w:tcPr>
          <w:p>
            <w:pPr>
              <w:spacing w:line="4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15" w:type="dxa"/>
            <w:vAlign w:val="center"/>
          </w:tcPr>
          <w:p>
            <w:pPr>
              <w:numPr>
                <w:ilvl w:val="0"/>
                <w:numId w:val="21"/>
              </w:numPr>
              <w:spacing w:line="480" w:lineRule="exact"/>
              <w:jc w:val="center"/>
              <w:rPr>
                <w:rFonts w:ascii="宋体" w:hAnsi="宋体" w:cs="宋体"/>
                <w:sz w:val="24"/>
              </w:rPr>
            </w:pPr>
          </w:p>
        </w:tc>
        <w:tc>
          <w:tcPr>
            <w:tcW w:w="2411" w:type="dxa"/>
            <w:vAlign w:val="center"/>
          </w:tcPr>
          <w:p>
            <w:pPr>
              <w:spacing w:line="480" w:lineRule="exact"/>
              <w:rPr>
                <w:rFonts w:ascii="宋体" w:hAnsi="宋体" w:cs="宋体"/>
                <w:sz w:val="24"/>
              </w:rPr>
            </w:pPr>
          </w:p>
        </w:tc>
        <w:tc>
          <w:tcPr>
            <w:tcW w:w="1560" w:type="dxa"/>
            <w:vAlign w:val="center"/>
          </w:tcPr>
          <w:p>
            <w:pPr>
              <w:spacing w:line="480" w:lineRule="exact"/>
              <w:rPr>
                <w:rFonts w:ascii="宋体" w:hAnsi="宋体" w:cs="宋体"/>
                <w:sz w:val="24"/>
              </w:rPr>
            </w:pPr>
          </w:p>
        </w:tc>
        <w:tc>
          <w:tcPr>
            <w:tcW w:w="1364" w:type="dxa"/>
            <w:vAlign w:val="center"/>
          </w:tcPr>
          <w:p>
            <w:pPr>
              <w:spacing w:line="480" w:lineRule="exact"/>
              <w:rPr>
                <w:rFonts w:ascii="宋体" w:hAnsi="宋体" w:cs="宋体"/>
                <w:sz w:val="24"/>
              </w:rPr>
            </w:pPr>
          </w:p>
        </w:tc>
        <w:tc>
          <w:tcPr>
            <w:tcW w:w="1077" w:type="dxa"/>
            <w:vAlign w:val="center"/>
          </w:tcPr>
          <w:p>
            <w:pPr>
              <w:spacing w:line="480" w:lineRule="exact"/>
              <w:rPr>
                <w:rFonts w:ascii="宋体" w:hAnsi="宋体" w:cs="宋体"/>
                <w:sz w:val="24"/>
              </w:rPr>
            </w:pPr>
          </w:p>
        </w:tc>
        <w:tc>
          <w:tcPr>
            <w:tcW w:w="1173" w:type="dxa"/>
            <w:vAlign w:val="center"/>
          </w:tcPr>
          <w:p>
            <w:pPr>
              <w:spacing w:line="480" w:lineRule="exact"/>
              <w:rPr>
                <w:rFonts w:ascii="宋体" w:hAnsi="宋体" w:cs="宋体"/>
                <w:sz w:val="24"/>
              </w:rPr>
            </w:pPr>
          </w:p>
        </w:tc>
        <w:tc>
          <w:tcPr>
            <w:tcW w:w="974" w:type="dxa"/>
            <w:vAlign w:val="center"/>
          </w:tcPr>
          <w:p>
            <w:pPr>
              <w:spacing w:line="480" w:lineRule="exact"/>
              <w:rPr>
                <w:rFonts w:ascii="宋体" w:hAnsi="宋体" w:cs="宋体"/>
                <w:sz w:val="24"/>
              </w:rPr>
            </w:pPr>
          </w:p>
        </w:tc>
        <w:tc>
          <w:tcPr>
            <w:tcW w:w="1612" w:type="dxa"/>
            <w:vAlign w:val="center"/>
          </w:tcPr>
          <w:p>
            <w:pPr>
              <w:spacing w:line="4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15" w:type="dxa"/>
            <w:vAlign w:val="center"/>
          </w:tcPr>
          <w:p>
            <w:pPr>
              <w:numPr>
                <w:ilvl w:val="0"/>
                <w:numId w:val="21"/>
              </w:numPr>
              <w:spacing w:line="480" w:lineRule="exact"/>
              <w:jc w:val="center"/>
              <w:rPr>
                <w:rFonts w:ascii="宋体" w:hAnsi="宋体" w:cs="宋体"/>
                <w:sz w:val="24"/>
              </w:rPr>
            </w:pPr>
          </w:p>
        </w:tc>
        <w:tc>
          <w:tcPr>
            <w:tcW w:w="2411" w:type="dxa"/>
            <w:vAlign w:val="center"/>
          </w:tcPr>
          <w:p>
            <w:pPr>
              <w:spacing w:line="480" w:lineRule="exact"/>
              <w:rPr>
                <w:rFonts w:ascii="宋体" w:hAnsi="宋体" w:cs="宋体"/>
                <w:sz w:val="24"/>
              </w:rPr>
            </w:pPr>
          </w:p>
        </w:tc>
        <w:tc>
          <w:tcPr>
            <w:tcW w:w="1560" w:type="dxa"/>
            <w:vAlign w:val="center"/>
          </w:tcPr>
          <w:p>
            <w:pPr>
              <w:spacing w:line="480" w:lineRule="exact"/>
              <w:rPr>
                <w:rFonts w:ascii="宋体" w:hAnsi="宋体" w:cs="宋体"/>
                <w:sz w:val="24"/>
              </w:rPr>
            </w:pPr>
          </w:p>
        </w:tc>
        <w:tc>
          <w:tcPr>
            <w:tcW w:w="1364" w:type="dxa"/>
            <w:vAlign w:val="center"/>
          </w:tcPr>
          <w:p>
            <w:pPr>
              <w:spacing w:line="480" w:lineRule="exact"/>
              <w:rPr>
                <w:rFonts w:ascii="宋体" w:hAnsi="宋体" w:cs="宋体"/>
                <w:sz w:val="24"/>
              </w:rPr>
            </w:pPr>
          </w:p>
        </w:tc>
        <w:tc>
          <w:tcPr>
            <w:tcW w:w="1077" w:type="dxa"/>
            <w:vAlign w:val="center"/>
          </w:tcPr>
          <w:p>
            <w:pPr>
              <w:spacing w:line="480" w:lineRule="exact"/>
              <w:rPr>
                <w:rFonts w:ascii="宋体" w:hAnsi="宋体" w:cs="宋体"/>
                <w:sz w:val="24"/>
              </w:rPr>
            </w:pPr>
          </w:p>
        </w:tc>
        <w:tc>
          <w:tcPr>
            <w:tcW w:w="1173" w:type="dxa"/>
            <w:vAlign w:val="center"/>
          </w:tcPr>
          <w:p>
            <w:pPr>
              <w:spacing w:line="480" w:lineRule="exact"/>
              <w:rPr>
                <w:rFonts w:ascii="宋体" w:hAnsi="宋体" w:cs="宋体"/>
                <w:sz w:val="24"/>
              </w:rPr>
            </w:pPr>
          </w:p>
        </w:tc>
        <w:tc>
          <w:tcPr>
            <w:tcW w:w="974" w:type="dxa"/>
            <w:vAlign w:val="center"/>
          </w:tcPr>
          <w:p>
            <w:pPr>
              <w:spacing w:line="480" w:lineRule="exact"/>
              <w:rPr>
                <w:rFonts w:ascii="宋体" w:hAnsi="宋体" w:cs="宋体"/>
                <w:sz w:val="24"/>
              </w:rPr>
            </w:pPr>
          </w:p>
        </w:tc>
        <w:tc>
          <w:tcPr>
            <w:tcW w:w="1612" w:type="dxa"/>
            <w:vAlign w:val="center"/>
          </w:tcPr>
          <w:p>
            <w:pPr>
              <w:spacing w:line="4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15" w:type="dxa"/>
            <w:vAlign w:val="center"/>
          </w:tcPr>
          <w:p>
            <w:pPr>
              <w:numPr>
                <w:ilvl w:val="0"/>
                <w:numId w:val="21"/>
              </w:numPr>
              <w:spacing w:line="480" w:lineRule="exact"/>
              <w:jc w:val="center"/>
              <w:rPr>
                <w:rFonts w:ascii="宋体" w:hAnsi="宋体" w:cs="宋体"/>
                <w:sz w:val="24"/>
              </w:rPr>
            </w:pPr>
          </w:p>
        </w:tc>
        <w:tc>
          <w:tcPr>
            <w:tcW w:w="2411" w:type="dxa"/>
            <w:vAlign w:val="center"/>
          </w:tcPr>
          <w:p>
            <w:pPr>
              <w:spacing w:line="480" w:lineRule="exact"/>
              <w:rPr>
                <w:rFonts w:ascii="宋体" w:hAnsi="宋体" w:cs="宋体"/>
                <w:sz w:val="24"/>
              </w:rPr>
            </w:pPr>
          </w:p>
        </w:tc>
        <w:tc>
          <w:tcPr>
            <w:tcW w:w="1560" w:type="dxa"/>
            <w:vAlign w:val="center"/>
          </w:tcPr>
          <w:p>
            <w:pPr>
              <w:spacing w:line="480" w:lineRule="exact"/>
              <w:rPr>
                <w:rFonts w:ascii="宋体" w:hAnsi="宋体" w:cs="宋体"/>
                <w:sz w:val="24"/>
              </w:rPr>
            </w:pPr>
          </w:p>
        </w:tc>
        <w:tc>
          <w:tcPr>
            <w:tcW w:w="1364" w:type="dxa"/>
            <w:vAlign w:val="center"/>
          </w:tcPr>
          <w:p>
            <w:pPr>
              <w:spacing w:line="480" w:lineRule="exact"/>
              <w:rPr>
                <w:rFonts w:ascii="宋体" w:hAnsi="宋体" w:cs="宋体"/>
                <w:sz w:val="24"/>
              </w:rPr>
            </w:pPr>
          </w:p>
        </w:tc>
        <w:tc>
          <w:tcPr>
            <w:tcW w:w="1077" w:type="dxa"/>
            <w:vAlign w:val="center"/>
          </w:tcPr>
          <w:p>
            <w:pPr>
              <w:spacing w:line="480" w:lineRule="exact"/>
              <w:rPr>
                <w:rFonts w:ascii="宋体" w:hAnsi="宋体" w:cs="宋体"/>
                <w:sz w:val="24"/>
              </w:rPr>
            </w:pPr>
          </w:p>
        </w:tc>
        <w:tc>
          <w:tcPr>
            <w:tcW w:w="1173" w:type="dxa"/>
            <w:vAlign w:val="center"/>
          </w:tcPr>
          <w:p>
            <w:pPr>
              <w:spacing w:line="480" w:lineRule="exact"/>
              <w:rPr>
                <w:rFonts w:ascii="宋体" w:hAnsi="宋体" w:cs="宋体"/>
                <w:sz w:val="24"/>
              </w:rPr>
            </w:pPr>
          </w:p>
        </w:tc>
        <w:tc>
          <w:tcPr>
            <w:tcW w:w="974" w:type="dxa"/>
            <w:vAlign w:val="center"/>
          </w:tcPr>
          <w:p>
            <w:pPr>
              <w:spacing w:line="480" w:lineRule="exact"/>
              <w:rPr>
                <w:rFonts w:ascii="宋体" w:hAnsi="宋体" w:cs="宋体"/>
                <w:sz w:val="24"/>
              </w:rPr>
            </w:pPr>
          </w:p>
        </w:tc>
        <w:tc>
          <w:tcPr>
            <w:tcW w:w="1612" w:type="dxa"/>
            <w:vAlign w:val="center"/>
          </w:tcPr>
          <w:p>
            <w:pPr>
              <w:spacing w:line="4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15" w:type="dxa"/>
            <w:vAlign w:val="center"/>
          </w:tcPr>
          <w:p>
            <w:pPr>
              <w:numPr>
                <w:ilvl w:val="0"/>
                <w:numId w:val="21"/>
              </w:numPr>
              <w:spacing w:line="480" w:lineRule="exact"/>
              <w:jc w:val="center"/>
              <w:rPr>
                <w:rFonts w:ascii="宋体" w:hAnsi="宋体" w:cs="宋体"/>
                <w:sz w:val="24"/>
              </w:rPr>
            </w:pPr>
          </w:p>
        </w:tc>
        <w:tc>
          <w:tcPr>
            <w:tcW w:w="2411" w:type="dxa"/>
            <w:vAlign w:val="center"/>
          </w:tcPr>
          <w:p>
            <w:pPr>
              <w:spacing w:line="480" w:lineRule="exact"/>
              <w:rPr>
                <w:rFonts w:ascii="宋体" w:hAnsi="宋体" w:cs="宋体"/>
                <w:sz w:val="24"/>
              </w:rPr>
            </w:pPr>
          </w:p>
        </w:tc>
        <w:tc>
          <w:tcPr>
            <w:tcW w:w="1560" w:type="dxa"/>
            <w:vAlign w:val="center"/>
          </w:tcPr>
          <w:p>
            <w:pPr>
              <w:spacing w:line="480" w:lineRule="exact"/>
              <w:rPr>
                <w:rFonts w:ascii="宋体" w:hAnsi="宋体" w:cs="宋体"/>
                <w:sz w:val="24"/>
              </w:rPr>
            </w:pPr>
          </w:p>
        </w:tc>
        <w:tc>
          <w:tcPr>
            <w:tcW w:w="1364" w:type="dxa"/>
            <w:vAlign w:val="center"/>
          </w:tcPr>
          <w:p>
            <w:pPr>
              <w:spacing w:line="480" w:lineRule="exact"/>
              <w:rPr>
                <w:rFonts w:ascii="宋体" w:hAnsi="宋体" w:cs="宋体"/>
                <w:sz w:val="24"/>
              </w:rPr>
            </w:pPr>
          </w:p>
        </w:tc>
        <w:tc>
          <w:tcPr>
            <w:tcW w:w="1077" w:type="dxa"/>
            <w:vAlign w:val="center"/>
          </w:tcPr>
          <w:p>
            <w:pPr>
              <w:spacing w:line="480" w:lineRule="exact"/>
              <w:rPr>
                <w:rFonts w:ascii="宋体" w:hAnsi="宋体" w:cs="宋体"/>
                <w:sz w:val="24"/>
              </w:rPr>
            </w:pPr>
          </w:p>
        </w:tc>
        <w:tc>
          <w:tcPr>
            <w:tcW w:w="1173" w:type="dxa"/>
            <w:vAlign w:val="center"/>
          </w:tcPr>
          <w:p>
            <w:pPr>
              <w:spacing w:line="480" w:lineRule="exact"/>
              <w:rPr>
                <w:rFonts w:ascii="宋体" w:hAnsi="宋体" w:cs="宋体"/>
                <w:sz w:val="24"/>
              </w:rPr>
            </w:pPr>
          </w:p>
        </w:tc>
        <w:tc>
          <w:tcPr>
            <w:tcW w:w="974" w:type="dxa"/>
            <w:vAlign w:val="center"/>
          </w:tcPr>
          <w:p>
            <w:pPr>
              <w:spacing w:line="480" w:lineRule="exact"/>
              <w:rPr>
                <w:rFonts w:ascii="宋体" w:hAnsi="宋体" w:cs="宋体"/>
                <w:sz w:val="24"/>
              </w:rPr>
            </w:pPr>
          </w:p>
        </w:tc>
        <w:tc>
          <w:tcPr>
            <w:tcW w:w="1612" w:type="dxa"/>
            <w:vAlign w:val="center"/>
          </w:tcPr>
          <w:p>
            <w:pPr>
              <w:spacing w:line="4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15" w:type="dxa"/>
            <w:vAlign w:val="center"/>
          </w:tcPr>
          <w:p>
            <w:pPr>
              <w:numPr>
                <w:ilvl w:val="0"/>
                <w:numId w:val="21"/>
              </w:numPr>
              <w:spacing w:line="480" w:lineRule="exact"/>
              <w:jc w:val="center"/>
              <w:rPr>
                <w:rFonts w:ascii="宋体" w:hAnsi="宋体" w:cs="宋体"/>
                <w:sz w:val="24"/>
              </w:rPr>
            </w:pPr>
          </w:p>
        </w:tc>
        <w:tc>
          <w:tcPr>
            <w:tcW w:w="2411" w:type="dxa"/>
            <w:vAlign w:val="center"/>
          </w:tcPr>
          <w:p>
            <w:pPr>
              <w:spacing w:line="480" w:lineRule="exact"/>
              <w:rPr>
                <w:rFonts w:ascii="宋体" w:hAnsi="宋体" w:cs="宋体"/>
                <w:sz w:val="24"/>
              </w:rPr>
            </w:pPr>
          </w:p>
        </w:tc>
        <w:tc>
          <w:tcPr>
            <w:tcW w:w="1560" w:type="dxa"/>
            <w:vAlign w:val="center"/>
          </w:tcPr>
          <w:p>
            <w:pPr>
              <w:spacing w:line="480" w:lineRule="exact"/>
              <w:rPr>
                <w:rFonts w:ascii="宋体" w:hAnsi="宋体" w:cs="宋体"/>
                <w:sz w:val="24"/>
              </w:rPr>
            </w:pPr>
          </w:p>
        </w:tc>
        <w:tc>
          <w:tcPr>
            <w:tcW w:w="1364" w:type="dxa"/>
            <w:vAlign w:val="center"/>
          </w:tcPr>
          <w:p>
            <w:pPr>
              <w:spacing w:line="480" w:lineRule="exact"/>
              <w:rPr>
                <w:rFonts w:ascii="宋体" w:hAnsi="宋体" w:cs="宋体"/>
                <w:sz w:val="24"/>
              </w:rPr>
            </w:pPr>
          </w:p>
        </w:tc>
        <w:tc>
          <w:tcPr>
            <w:tcW w:w="1077" w:type="dxa"/>
            <w:vAlign w:val="center"/>
          </w:tcPr>
          <w:p>
            <w:pPr>
              <w:spacing w:line="480" w:lineRule="exact"/>
              <w:rPr>
                <w:rFonts w:ascii="宋体" w:hAnsi="宋体" w:cs="宋体"/>
                <w:sz w:val="24"/>
              </w:rPr>
            </w:pPr>
          </w:p>
        </w:tc>
        <w:tc>
          <w:tcPr>
            <w:tcW w:w="1173" w:type="dxa"/>
            <w:vAlign w:val="center"/>
          </w:tcPr>
          <w:p>
            <w:pPr>
              <w:spacing w:line="480" w:lineRule="exact"/>
              <w:rPr>
                <w:rFonts w:ascii="宋体" w:hAnsi="宋体" w:cs="宋体"/>
                <w:sz w:val="24"/>
              </w:rPr>
            </w:pPr>
          </w:p>
        </w:tc>
        <w:tc>
          <w:tcPr>
            <w:tcW w:w="974" w:type="dxa"/>
            <w:vAlign w:val="center"/>
          </w:tcPr>
          <w:p>
            <w:pPr>
              <w:spacing w:line="480" w:lineRule="exact"/>
              <w:rPr>
                <w:rFonts w:ascii="宋体" w:hAnsi="宋体" w:cs="宋体"/>
                <w:sz w:val="24"/>
              </w:rPr>
            </w:pPr>
          </w:p>
        </w:tc>
        <w:tc>
          <w:tcPr>
            <w:tcW w:w="1612" w:type="dxa"/>
            <w:vAlign w:val="center"/>
          </w:tcPr>
          <w:p>
            <w:pPr>
              <w:spacing w:line="4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126" w:type="dxa"/>
            <w:gridSpan w:val="2"/>
            <w:vAlign w:val="center"/>
          </w:tcPr>
          <w:p>
            <w:pPr>
              <w:spacing w:line="480" w:lineRule="exact"/>
              <w:rPr>
                <w:rFonts w:ascii="宋体" w:hAnsi="宋体" w:cs="宋体"/>
                <w:sz w:val="24"/>
              </w:rPr>
            </w:pPr>
            <w:r>
              <w:rPr>
                <w:rFonts w:hint="eastAsia" w:ascii="宋体" w:hAnsi="宋体" w:cs="宋体"/>
                <w:sz w:val="24"/>
              </w:rPr>
              <w:t>合计报价</w:t>
            </w:r>
          </w:p>
        </w:tc>
        <w:tc>
          <w:tcPr>
            <w:tcW w:w="6148" w:type="dxa"/>
            <w:gridSpan w:val="5"/>
            <w:vAlign w:val="center"/>
          </w:tcPr>
          <w:p>
            <w:pPr>
              <w:spacing w:line="480" w:lineRule="exact"/>
              <w:rPr>
                <w:rFonts w:ascii="宋体" w:hAnsi="宋体" w:cs="宋体"/>
                <w:sz w:val="24"/>
              </w:rPr>
            </w:pPr>
          </w:p>
        </w:tc>
        <w:tc>
          <w:tcPr>
            <w:tcW w:w="1612" w:type="dxa"/>
            <w:vAlign w:val="center"/>
          </w:tcPr>
          <w:p>
            <w:pPr>
              <w:spacing w:line="480" w:lineRule="exact"/>
              <w:rPr>
                <w:rFonts w:ascii="宋体" w:hAnsi="宋体" w:cs="宋体"/>
                <w:sz w:val="24"/>
              </w:rPr>
            </w:pPr>
          </w:p>
        </w:tc>
      </w:tr>
    </w:tbl>
    <w:p>
      <w:pPr>
        <w:spacing w:line="480" w:lineRule="exact"/>
        <w:rPr>
          <w:rFonts w:ascii="宋体" w:hAnsi="宋体" w:cs="宋体"/>
          <w:sz w:val="24"/>
        </w:rPr>
      </w:pPr>
      <w:r>
        <w:rPr>
          <w:rFonts w:hint="eastAsia" w:ascii="宋体" w:hAnsi="宋体" w:cs="宋体"/>
          <w:sz w:val="24"/>
        </w:rPr>
        <w:t>注：</w:t>
      </w:r>
    </w:p>
    <w:p>
      <w:pPr>
        <w:spacing w:line="480" w:lineRule="exact"/>
        <w:ind w:firstLine="120" w:firstLineChars="50"/>
        <w:rPr>
          <w:rFonts w:ascii="宋体" w:hAnsi="宋体" w:cs="宋体"/>
          <w:sz w:val="24"/>
        </w:rPr>
      </w:pPr>
      <w:r>
        <w:rPr>
          <w:rFonts w:hint="eastAsia" w:ascii="宋体" w:hAnsi="宋体" w:cs="宋体"/>
          <w:sz w:val="24"/>
        </w:rPr>
        <w:t>1、报价单位为人民币元；</w:t>
      </w:r>
    </w:p>
    <w:p>
      <w:pPr>
        <w:spacing w:line="480" w:lineRule="exact"/>
        <w:ind w:firstLine="117" w:firstLineChars="49"/>
        <w:rPr>
          <w:rFonts w:ascii="宋体" w:hAnsi="宋体" w:cs="宋体"/>
          <w:b/>
          <w:sz w:val="24"/>
        </w:rPr>
      </w:pPr>
      <w:r>
        <w:rPr>
          <w:rFonts w:hint="eastAsia" w:ascii="宋体" w:hAnsi="宋体" w:cs="宋体"/>
          <w:sz w:val="24"/>
        </w:rPr>
        <w:t>2、</w:t>
      </w:r>
      <w:r>
        <w:rPr>
          <w:rFonts w:hint="eastAsia" w:ascii="宋体" w:hAnsi="宋体" w:cs="宋体"/>
          <w:b/>
          <w:sz w:val="24"/>
        </w:rPr>
        <w:t>报价含项目完成并验收合格前的所有费用（至最终用户）；</w:t>
      </w:r>
    </w:p>
    <w:p>
      <w:pPr>
        <w:spacing w:line="480" w:lineRule="exact"/>
        <w:ind w:firstLine="120" w:firstLineChars="50"/>
        <w:rPr>
          <w:rFonts w:ascii="宋体" w:hAnsi="宋体" w:cs="宋体"/>
          <w:sz w:val="24"/>
        </w:rPr>
      </w:pPr>
      <w:r>
        <w:rPr>
          <w:rFonts w:hint="eastAsia" w:ascii="宋体" w:hAnsi="宋体" w:cs="宋体"/>
          <w:sz w:val="24"/>
        </w:rPr>
        <w:t>3、表格不够可按相同格式加以扩展。</w:t>
      </w:r>
    </w:p>
    <w:p>
      <w:pPr>
        <w:spacing w:line="480" w:lineRule="exact"/>
        <w:rPr>
          <w:rFonts w:ascii="宋体" w:hAnsi="宋体" w:cs="宋体"/>
          <w:sz w:val="24"/>
        </w:rPr>
      </w:pPr>
    </w:p>
    <w:p>
      <w:pPr>
        <w:spacing w:line="480" w:lineRule="exact"/>
        <w:rPr>
          <w:rFonts w:ascii="宋体" w:hAnsi="宋体" w:cs="宋体"/>
          <w:sz w:val="24"/>
        </w:rPr>
      </w:pPr>
    </w:p>
    <w:p>
      <w:pPr>
        <w:spacing w:line="480" w:lineRule="exact"/>
        <w:ind w:firstLine="120" w:firstLineChars="50"/>
        <w:rPr>
          <w:rFonts w:ascii="宋体" w:hAnsi="宋体" w:cs="宋体"/>
          <w:sz w:val="24"/>
        </w:rPr>
      </w:pPr>
      <w:r>
        <w:rPr>
          <w:rFonts w:hint="eastAsia" w:ascii="宋体" w:hAnsi="宋体" w:cs="宋体"/>
          <w:sz w:val="24"/>
        </w:rPr>
        <w:t>供应商 （公章）：</w:t>
      </w:r>
    </w:p>
    <w:p>
      <w:pPr>
        <w:spacing w:line="480" w:lineRule="exact"/>
        <w:ind w:firstLine="120" w:firstLineChars="50"/>
        <w:rPr>
          <w:rFonts w:ascii="宋体" w:hAnsi="宋体" w:cs="宋体"/>
          <w:sz w:val="24"/>
        </w:rPr>
      </w:pPr>
      <w:r>
        <w:rPr>
          <w:rFonts w:hint="eastAsia" w:ascii="宋体" w:hAnsi="宋体" w:cs="宋体"/>
          <w:sz w:val="24"/>
        </w:rPr>
        <w:t>法定代表人或供应商全权代表：（签字或印章）</w:t>
      </w:r>
    </w:p>
    <w:p>
      <w:pPr>
        <w:spacing w:line="480" w:lineRule="exact"/>
        <w:rPr>
          <w:rFonts w:ascii="宋体" w:hAnsi="宋体" w:cs="宋体"/>
          <w:sz w:val="24"/>
        </w:rPr>
      </w:pPr>
    </w:p>
    <w:p>
      <w:pPr>
        <w:spacing w:line="480" w:lineRule="exact"/>
        <w:rPr>
          <w:rFonts w:ascii="宋体" w:hAnsi="宋体" w:cs="宋体"/>
          <w:sz w:val="24"/>
        </w:rPr>
      </w:pPr>
      <w:r>
        <w:rPr>
          <w:rFonts w:hint="eastAsia" w:ascii="宋体" w:hAnsi="宋体" w:cs="宋体"/>
          <w:sz w:val="24"/>
        </w:rPr>
        <w:t xml:space="preserve">                                                            年   月   日</w:t>
      </w:r>
    </w:p>
    <w:p>
      <w:pPr>
        <w:tabs>
          <w:tab w:val="left" w:pos="1430"/>
        </w:tabs>
        <w:jc w:val="left"/>
        <w:rPr>
          <w:rFonts w:ascii="宋体" w:hAnsi="宋体" w:cs="宋体"/>
        </w:rPr>
        <w:sectPr>
          <w:headerReference r:id="rId11" w:type="default"/>
          <w:footerReference r:id="rId12" w:type="default"/>
          <w:pgSz w:w="11906" w:h="16838"/>
          <w:pgMar w:top="1440" w:right="1418" w:bottom="1440" w:left="1418" w:header="851" w:footer="992" w:gutter="0"/>
          <w:pgNumType w:fmt="decimal"/>
          <w:cols w:space="720" w:num="1"/>
          <w:docGrid w:linePitch="312" w:charSpace="0"/>
        </w:sectPr>
      </w:pPr>
    </w:p>
    <w:p>
      <w:pPr>
        <w:spacing w:line="480" w:lineRule="exact"/>
        <w:rPr>
          <w:rFonts w:cs="宋体" w:asciiTheme="majorEastAsia" w:hAnsiTheme="majorEastAsia" w:eastAsiaTheme="majorEastAsia"/>
          <w:b/>
          <w:sz w:val="32"/>
          <w:szCs w:val="32"/>
        </w:rPr>
      </w:pPr>
      <w:r>
        <w:rPr>
          <w:rFonts w:hint="eastAsia" w:cs="宋体" w:asciiTheme="majorEastAsia" w:hAnsiTheme="majorEastAsia" w:eastAsiaTheme="majorEastAsia"/>
          <w:sz w:val="24"/>
          <w:szCs w:val="24"/>
        </w:rPr>
        <w:t>附件五：</w:t>
      </w:r>
    </w:p>
    <w:p>
      <w:pPr>
        <w:spacing w:before="100" w:beforeAutospacing="1" w:after="100" w:afterAutospacing="1" w:line="440" w:lineRule="exact"/>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供应商基本情况表</w:t>
      </w:r>
    </w:p>
    <w:tbl>
      <w:tblPr>
        <w:tblStyle w:val="5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60"/>
        <w:gridCol w:w="1768"/>
        <w:gridCol w:w="706"/>
        <w:gridCol w:w="1224"/>
        <w:gridCol w:w="355"/>
        <w:gridCol w:w="268"/>
        <w:gridCol w:w="77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979" w:type="dxa"/>
            <w:gridSpan w:val="2"/>
            <w:vAlign w:val="center"/>
          </w:tcPr>
          <w:p>
            <w:pPr>
              <w:spacing w:line="44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供应商名称</w:t>
            </w:r>
          </w:p>
        </w:tc>
        <w:tc>
          <w:tcPr>
            <w:tcW w:w="2474" w:type="dxa"/>
            <w:gridSpan w:val="2"/>
            <w:vAlign w:val="center"/>
          </w:tcPr>
          <w:p>
            <w:pPr>
              <w:spacing w:line="440" w:lineRule="exact"/>
              <w:jc w:val="center"/>
              <w:rPr>
                <w:rFonts w:cs="宋体" w:asciiTheme="majorEastAsia" w:hAnsiTheme="majorEastAsia" w:eastAsiaTheme="majorEastAsia"/>
                <w:sz w:val="24"/>
                <w:szCs w:val="24"/>
              </w:rPr>
            </w:pPr>
          </w:p>
        </w:tc>
        <w:tc>
          <w:tcPr>
            <w:tcW w:w="1847" w:type="dxa"/>
            <w:gridSpan w:val="3"/>
            <w:vAlign w:val="center"/>
          </w:tcPr>
          <w:p>
            <w:pPr>
              <w:spacing w:line="44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主要业务</w:t>
            </w:r>
          </w:p>
        </w:tc>
        <w:tc>
          <w:tcPr>
            <w:tcW w:w="2700" w:type="dxa"/>
            <w:gridSpan w:val="2"/>
            <w:vAlign w:val="center"/>
          </w:tcPr>
          <w:p>
            <w:pPr>
              <w:spacing w:line="440" w:lineRule="exa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注册资金</w:t>
            </w:r>
          </w:p>
        </w:tc>
        <w:tc>
          <w:tcPr>
            <w:tcW w:w="2474" w:type="dxa"/>
            <w:gridSpan w:val="2"/>
            <w:vAlign w:val="center"/>
          </w:tcPr>
          <w:p>
            <w:pPr>
              <w:spacing w:line="440" w:lineRule="exact"/>
              <w:jc w:val="center"/>
              <w:rPr>
                <w:rFonts w:cs="宋体" w:asciiTheme="majorEastAsia" w:hAnsiTheme="majorEastAsia" w:eastAsiaTheme="majorEastAsia"/>
                <w:bCs/>
                <w:sz w:val="24"/>
                <w:szCs w:val="24"/>
              </w:rPr>
            </w:pPr>
          </w:p>
        </w:tc>
        <w:tc>
          <w:tcPr>
            <w:tcW w:w="1847" w:type="dxa"/>
            <w:gridSpan w:val="3"/>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现有职工人数</w:t>
            </w:r>
          </w:p>
        </w:tc>
        <w:tc>
          <w:tcPr>
            <w:tcW w:w="2700" w:type="dxa"/>
            <w:gridSpan w:val="2"/>
            <w:vAlign w:val="center"/>
          </w:tcPr>
          <w:p>
            <w:pPr>
              <w:spacing w:line="440" w:lineRule="exa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sz w:val="24"/>
                <w:szCs w:val="24"/>
              </w:rPr>
              <w:t>行政管理人数</w:t>
            </w:r>
          </w:p>
        </w:tc>
        <w:tc>
          <w:tcPr>
            <w:tcW w:w="2474" w:type="dxa"/>
            <w:gridSpan w:val="2"/>
            <w:vAlign w:val="center"/>
          </w:tcPr>
          <w:p>
            <w:pPr>
              <w:spacing w:line="440" w:lineRule="exact"/>
              <w:jc w:val="center"/>
              <w:rPr>
                <w:rFonts w:cs="宋体" w:asciiTheme="majorEastAsia" w:hAnsiTheme="majorEastAsia" w:eastAsiaTheme="majorEastAsia"/>
                <w:bCs/>
                <w:sz w:val="24"/>
                <w:szCs w:val="24"/>
              </w:rPr>
            </w:pPr>
          </w:p>
        </w:tc>
        <w:tc>
          <w:tcPr>
            <w:tcW w:w="1847" w:type="dxa"/>
            <w:gridSpan w:val="3"/>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技术人员人数</w:t>
            </w:r>
          </w:p>
        </w:tc>
        <w:tc>
          <w:tcPr>
            <w:tcW w:w="2700" w:type="dxa"/>
            <w:gridSpan w:val="2"/>
            <w:vAlign w:val="center"/>
          </w:tcPr>
          <w:p>
            <w:pPr>
              <w:spacing w:line="440" w:lineRule="exa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营业执照</w:t>
            </w:r>
          </w:p>
        </w:tc>
        <w:tc>
          <w:tcPr>
            <w:tcW w:w="7021" w:type="dxa"/>
            <w:gridSpan w:val="7"/>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单位资质</w:t>
            </w:r>
          </w:p>
        </w:tc>
        <w:tc>
          <w:tcPr>
            <w:tcW w:w="7021" w:type="dxa"/>
            <w:gridSpan w:val="7"/>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1.执照编号   2.资质等级   3.发证部门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单位注册地址</w:t>
            </w:r>
          </w:p>
        </w:tc>
        <w:tc>
          <w:tcPr>
            <w:tcW w:w="2474" w:type="dxa"/>
            <w:gridSpan w:val="2"/>
            <w:vAlign w:val="center"/>
          </w:tcPr>
          <w:p>
            <w:pPr>
              <w:spacing w:line="440" w:lineRule="exact"/>
              <w:jc w:val="center"/>
              <w:rPr>
                <w:rFonts w:cs="宋体" w:asciiTheme="majorEastAsia" w:hAnsiTheme="majorEastAsia" w:eastAsiaTheme="majorEastAsia"/>
                <w:bCs/>
                <w:sz w:val="24"/>
                <w:szCs w:val="24"/>
              </w:rPr>
            </w:pPr>
          </w:p>
        </w:tc>
        <w:tc>
          <w:tcPr>
            <w:tcW w:w="1579" w:type="dxa"/>
            <w:gridSpan w:val="2"/>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单位联系人、联系方式</w:t>
            </w:r>
          </w:p>
        </w:tc>
        <w:tc>
          <w:tcPr>
            <w:tcW w:w="2968" w:type="dxa"/>
            <w:gridSpan w:val="3"/>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单位成立时间</w:t>
            </w:r>
          </w:p>
        </w:tc>
        <w:tc>
          <w:tcPr>
            <w:tcW w:w="7021" w:type="dxa"/>
            <w:gridSpan w:val="7"/>
            <w:vAlign w:val="center"/>
          </w:tcPr>
          <w:p>
            <w:pPr>
              <w:spacing w:line="440" w:lineRule="exact"/>
              <w:jc w:val="center"/>
              <w:rPr>
                <w:rFonts w:cs="宋体" w:asciiTheme="majorEastAsia" w:hAnsiTheme="majorEastAsia" w:eastAsia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开户银行</w:t>
            </w:r>
          </w:p>
        </w:tc>
        <w:tc>
          <w:tcPr>
            <w:tcW w:w="7021" w:type="dxa"/>
            <w:gridSpan w:val="7"/>
            <w:vAlign w:val="center"/>
          </w:tcPr>
          <w:p>
            <w:pPr>
              <w:spacing w:line="44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bCs/>
                <w:sz w:val="24"/>
                <w:szCs w:val="24"/>
              </w:rPr>
              <w:t>开户行、开户名称、银行帐号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9000" w:type="dxa"/>
            <w:gridSpan w:val="9"/>
            <w:vAlign w:val="center"/>
          </w:tcPr>
          <w:p>
            <w:pPr>
              <w:spacing w:line="44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固定经营场所或售后服务机构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机构名称</w:t>
            </w:r>
          </w:p>
        </w:tc>
        <w:tc>
          <w:tcPr>
            <w:tcW w:w="1928" w:type="dxa"/>
            <w:gridSpan w:val="2"/>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注册地址</w:t>
            </w:r>
          </w:p>
        </w:tc>
        <w:tc>
          <w:tcPr>
            <w:tcW w:w="1930" w:type="dxa"/>
            <w:gridSpan w:val="2"/>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联系人</w:t>
            </w:r>
          </w:p>
        </w:tc>
        <w:tc>
          <w:tcPr>
            <w:tcW w:w="1402" w:type="dxa"/>
            <w:gridSpan w:val="3"/>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联络方式</w:t>
            </w:r>
          </w:p>
        </w:tc>
        <w:tc>
          <w:tcPr>
            <w:tcW w:w="1921" w:type="dxa"/>
            <w:vAlign w:val="center"/>
          </w:tcPr>
          <w:p>
            <w:pPr>
              <w:spacing w:line="440" w:lineRule="exact"/>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cs="宋体" w:asciiTheme="majorEastAsia" w:hAnsiTheme="majorEastAsia" w:eastAsiaTheme="majorEastAsia"/>
                <w:sz w:val="24"/>
                <w:szCs w:val="24"/>
              </w:rPr>
            </w:pPr>
          </w:p>
        </w:tc>
        <w:tc>
          <w:tcPr>
            <w:tcW w:w="1928" w:type="dxa"/>
            <w:gridSpan w:val="2"/>
            <w:vAlign w:val="center"/>
          </w:tcPr>
          <w:p>
            <w:pPr>
              <w:spacing w:line="440" w:lineRule="exact"/>
              <w:jc w:val="center"/>
              <w:rPr>
                <w:rFonts w:cs="宋体" w:asciiTheme="majorEastAsia" w:hAnsiTheme="majorEastAsia" w:eastAsiaTheme="majorEastAsia"/>
                <w:sz w:val="24"/>
                <w:szCs w:val="24"/>
              </w:rPr>
            </w:pPr>
          </w:p>
        </w:tc>
        <w:tc>
          <w:tcPr>
            <w:tcW w:w="1930" w:type="dxa"/>
            <w:gridSpan w:val="2"/>
            <w:vAlign w:val="center"/>
          </w:tcPr>
          <w:p>
            <w:pPr>
              <w:spacing w:line="440" w:lineRule="exact"/>
              <w:jc w:val="center"/>
              <w:rPr>
                <w:rFonts w:cs="宋体" w:asciiTheme="majorEastAsia" w:hAnsiTheme="majorEastAsia" w:eastAsiaTheme="majorEastAsia"/>
                <w:sz w:val="24"/>
                <w:szCs w:val="24"/>
              </w:rPr>
            </w:pPr>
          </w:p>
        </w:tc>
        <w:tc>
          <w:tcPr>
            <w:tcW w:w="1402" w:type="dxa"/>
            <w:gridSpan w:val="3"/>
            <w:vAlign w:val="center"/>
          </w:tcPr>
          <w:p>
            <w:pPr>
              <w:spacing w:line="440" w:lineRule="exact"/>
              <w:jc w:val="center"/>
              <w:rPr>
                <w:rFonts w:cs="宋体" w:asciiTheme="majorEastAsia" w:hAnsiTheme="majorEastAsia" w:eastAsiaTheme="majorEastAsia"/>
                <w:sz w:val="24"/>
                <w:szCs w:val="24"/>
              </w:rPr>
            </w:pPr>
          </w:p>
        </w:tc>
        <w:tc>
          <w:tcPr>
            <w:tcW w:w="1921" w:type="dxa"/>
            <w:vAlign w:val="center"/>
          </w:tcPr>
          <w:p>
            <w:pPr>
              <w:spacing w:line="440" w:lineRule="exa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cs="宋体" w:asciiTheme="majorEastAsia" w:hAnsiTheme="majorEastAsia" w:eastAsiaTheme="majorEastAsia"/>
                <w:sz w:val="24"/>
                <w:szCs w:val="24"/>
              </w:rPr>
            </w:pPr>
          </w:p>
        </w:tc>
        <w:tc>
          <w:tcPr>
            <w:tcW w:w="1928" w:type="dxa"/>
            <w:gridSpan w:val="2"/>
            <w:vAlign w:val="center"/>
          </w:tcPr>
          <w:p>
            <w:pPr>
              <w:spacing w:line="440" w:lineRule="exact"/>
              <w:jc w:val="center"/>
              <w:rPr>
                <w:rFonts w:cs="宋体" w:asciiTheme="majorEastAsia" w:hAnsiTheme="majorEastAsia" w:eastAsiaTheme="majorEastAsia"/>
                <w:sz w:val="24"/>
                <w:szCs w:val="24"/>
              </w:rPr>
            </w:pPr>
          </w:p>
        </w:tc>
        <w:tc>
          <w:tcPr>
            <w:tcW w:w="1930" w:type="dxa"/>
            <w:gridSpan w:val="2"/>
            <w:vAlign w:val="center"/>
          </w:tcPr>
          <w:p>
            <w:pPr>
              <w:spacing w:line="440" w:lineRule="exact"/>
              <w:jc w:val="center"/>
              <w:rPr>
                <w:rFonts w:cs="宋体" w:asciiTheme="majorEastAsia" w:hAnsiTheme="majorEastAsia" w:eastAsiaTheme="majorEastAsia"/>
                <w:sz w:val="24"/>
                <w:szCs w:val="24"/>
              </w:rPr>
            </w:pPr>
          </w:p>
        </w:tc>
        <w:tc>
          <w:tcPr>
            <w:tcW w:w="1402" w:type="dxa"/>
            <w:gridSpan w:val="3"/>
            <w:vAlign w:val="center"/>
          </w:tcPr>
          <w:p>
            <w:pPr>
              <w:spacing w:line="440" w:lineRule="exact"/>
              <w:jc w:val="center"/>
              <w:rPr>
                <w:rFonts w:cs="宋体" w:asciiTheme="majorEastAsia" w:hAnsiTheme="majorEastAsia" w:eastAsiaTheme="majorEastAsia"/>
                <w:sz w:val="24"/>
                <w:szCs w:val="24"/>
              </w:rPr>
            </w:pPr>
          </w:p>
        </w:tc>
        <w:tc>
          <w:tcPr>
            <w:tcW w:w="1921" w:type="dxa"/>
            <w:vAlign w:val="center"/>
          </w:tcPr>
          <w:p>
            <w:pPr>
              <w:spacing w:line="440" w:lineRule="exact"/>
              <w:jc w:val="center"/>
              <w:rPr>
                <w:rFonts w:cs="宋体" w:asciiTheme="majorEastAsia" w:hAnsiTheme="majorEastAsia" w:eastAsiaTheme="majorEastAsia"/>
                <w:sz w:val="24"/>
                <w:szCs w:val="24"/>
              </w:rPr>
            </w:pPr>
          </w:p>
        </w:tc>
      </w:tr>
    </w:tbl>
    <w:p>
      <w:pPr>
        <w:spacing w:line="440" w:lineRule="exact"/>
        <w:rPr>
          <w:rFonts w:cs="宋体" w:asciiTheme="majorEastAsia" w:hAnsiTheme="majorEastAsia" w:eastAsiaTheme="majorEastAsia"/>
          <w:sz w:val="24"/>
        </w:rPr>
      </w:pPr>
    </w:p>
    <w:p>
      <w:pPr>
        <w:spacing w:line="440" w:lineRule="exact"/>
        <w:ind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供应商 （公章）：</w:t>
      </w:r>
    </w:p>
    <w:p>
      <w:pPr>
        <w:spacing w:line="440" w:lineRule="exact"/>
        <w:ind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法定代表人或供应商全权代表：（签字或印章）</w:t>
      </w:r>
    </w:p>
    <w:p>
      <w:pPr>
        <w:spacing w:line="440" w:lineRule="exact"/>
        <w:rPr>
          <w:rFonts w:cs="宋体" w:asciiTheme="majorEastAsia" w:hAnsiTheme="majorEastAsia" w:eastAsiaTheme="majorEastAsia"/>
          <w:sz w:val="24"/>
        </w:rPr>
      </w:pPr>
    </w:p>
    <w:p>
      <w:pPr>
        <w:spacing w:line="440" w:lineRule="exact"/>
        <w:ind w:firstLine="6720" w:firstLineChars="2800"/>
        <w:rPr>
          <w:rFonts w:cs="宋体" w:asciiTheme="majorEastAsia" w:hAnsiTheme="majorEastAsia" w:eastAsiaTheme="majorEastAsia"/>
          <w:sz w:val="24"/>
        </w:rPr>
      </w:pPr>
      <w:r>
        <w:rPr>
          <w:rFonts w:hint="eastAsia" w:cs="宋体" w:asciiTheme="majorEastAsia" w:hAnsiTheme="majorEastAsia" w:eastAsiaTheme="majorEastAsia"/>
          <w:sz w:val="24"/>
        </w:rPr>
        <w:t xml:space="preserve">   </w:t>
      </w:r>
    </w:p>
    <w:p>
      <w:pPr>
        <w:spacing w:line="440" w:lineRule="exact"/>
        <w:ind w:firstLine="7080" w:firstLineChars="2950"/>
        <w:rPr>
          <w:rFonts w:cs="宋体" w:asciiTheme="majorEastAsia" w:hAnsiTheme="majorEastAsia" w:eastAsiaTheme="majorEastAsia"/>
          <w:sz w:val="24"/>
        </w:rPr>
      </w:pPr>
      <w:r>
        <w:rPr>
          <w:rFonts w:hint="eastAsia" w:cs="宋体" w:asciiTheme="majorEastAsia" w:hAnsiTheme="majorEastAsia" w:eastAsiaTheme="majorEastAsia"/>
          <w:sz w:val="24"/>
        </w:rPr>
        <w:t xml:space="preserve"> 年   月   日</w:t>
      </w:r>
    </w:p>
    <w:p>
      <w:pPr>
        <w:topLinePunct/>
        <w:spacing w:line="480" w:lineRule="exact"/>
        <w:rPr>
          <w:rFonts w:cs="宋体" w:asciiTheme="majorEastAsia" w:hAnsiTheme="majorEastAsia" w:eastAsiaTheme="majorEastAsia"/>
          <w:sz w:val="24"/>
        </w:rPr>
      </w:pPr>
    </w:p>
    <w:p>
      <w:pPr>
        <w:topLinePunct/>
        <w:spacing w:line="480" w:lineRule="exact"/>
        <w:rPr>
          <w:rFonts w:cs="宋体" w:asciiTheme="majorEastAsia" w:hAnsiTheme="majorEastAsia" w:eastAsiaTheme="majorEastAsia"/>
          <w:sz w:val="24"/>
        </w:rPr>
      </w:pPr>
      <w:r>
        <w:rPr>
          <w:rFonts w:hint="eastAsia" w:cs="宋体" w:asciiTheme="majorEastAsia" w:hAnsiTheme="majorEastAsia" w:eastAsiaTheme="majorEastAsia"/>
          <w:sz w:val="24"/>
        </w:rPr>
        <w:t xml:space="preserve">附件六：  </w:t>
      </w:r>
    </w:p>
    <w:p>
      <w:pPr>
        <w:spacing w:line="480" w:lineRule="exact"/>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商务条款偏离表</w:t>
      </w:r>
    </w:p>
    <w:p>
      <w:pPr>
        <w:spacing w:line="480" w:lineRule="exact"/>
        <w:jc w:val="center"/>
        <w:rPr>
          <w:rFonts w:cs="宋体" w:asciiTheme="majorEastAsia" w:hAnsiTheme="majorEastAsia" w:eastAsiaTheme="majorEastAsia"/>
          <w:b/>
          <w:sz w:val="36"/>
          <w:szCs w:val="36"/>
        </w:rPr>
      </w:pPr>
    </w:p>
    <w:tbl>
      <w:tblPr>
        <w:tblStyle w:val="5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80"/>
        <w:gridCol w:w="2444"/>
        <w:gridCol w:w="1241"/>
        <w:gridCol w:w="234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restart"/>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序号</w:t>
            </w:r>
          </w:p>
        </w:tc>
        <w:tc>
          <w:tcPr>
            <w:tcW w:w="3624" w:type="dxa"/>
            <w:gridSpan w:val="2"/>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磋商文件</w:t>
            </w:r>
          </w:p>
        </w:tc>
        <w:tc>
          <w:tcPr>
            <w:tcW w:w="3582" w:type="dxa"/>
            <w:gridSpan w:val="2"/>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响应文件</w:t>
            </w:r>
          </w:p>
        </w:tc>
        <w:tc>
          <w:tcPr>
            <w:tcW w:w="981" w:type="dxa"/>
            <w:vMerge w:val="restart"/>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continue"/>
            <w:vAlign w:val="center"/>
          </w:tcPr>
          <w:p>
            <w:pPr>
              <w:spacing w:line="480" w:lineRule="exact"/>
              <w:jc w:val="center"/>
              <w:rPr>
                <w:rFonts w:cs="宋体" w:asciiTheme="majorEastAsia" w:hAnsiTheme="majorEastAsia" w:eastAsiaTheme="majorEastAsia"/>
                <w:sz w:val="24"/>
                <w:szCs w:val="24"/>
              </w:rPr>
            </w:pPr>
          </w:p>
        </w:tc>
        <w:tc>
          <w:tcPr>
            <w:tcW w:w="1180" w:type="dxa"/>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条款号</w:t>
            </w:r>
          </w:p>
        </w:tc>
        <w:tc>
          <w:tcPr>
            <w:tcW w:w="2444" w:type="dxa"/>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条款内容</w:t>
            </w:r>
          </w:p>
        </w:tc>
        <w:tc>
          <w:tcPr>
            <w:tcW w:w="1241" w:type="dxa"/>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条款号</w:t>
            </w:r>
          </w:p>
        </w:tc>
        <w:tc>
          <w:tcPr>
            <w:tcW w:w="2341" w:type="dxa"/>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条款内容</w:t>
            </w:r>
          </w:p>
        </w:tc>
        <w:tc>
          <w:tcPr>
            <w:tcW w:w="981" w:type="dxa"/>
            <w:vMerge w:val="continue"/>
            <w:vAlign w:val="center"/>
          </w:tcPr>
          <w:p>
            <w:pPr>
              <w:spacing w:line="480" w:lineRule="exa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cs="宋体" w:asciiTheme="majorEastAsia" w:hAnsiTheme="majorEastAsia" w:eastAsiaTheme="majorEastAsia"/>
                <w:sz w:val="24"/>
                <w:szCs w:val="24"/>
              </w:rPr>
            </w:pPr>
          </w:p>
        </w:tc>
        <w:tc>
          <w:tcPr>
            <w:tcW w:w="1180" w:type="dxa"/>
            <w:vAlign w:val="center"/>
          </w:tcPr>
          <w:p>
            <w:pPr>
              <w:spacing w:line="480" w:lineRule="exact"/>
              <w:jc w:val="center"/>
              <w:rPr>
                <w:rFonts w:cs="宋体" w:asciiTheme="majorEastAsia" w:hAnsiTheme="majorEastAsia" w:eastAsiaTheme="majorEastAsia"/>
                <w:sz w:val="24"/>
                <w:szCs w:val="24"/>
              </w:rPr>
            </w:pPr>
          </w:p>
        </w:tc>
        <w:tc>
          <w:tcPr>
            <w:tcW w:w="2444" w:type="dxa"/>
            <w:vAlign w:val="center"/>
          </w:tcPr>
          <w:p>
            <w:pPr>
              <w:spacing w:line="480" w:lineRule="exact"/>
              <w:jc w:val="center"/>
              <w:rPr>
                <w:rFonts w:cs="宋体" w:asciiTheme="majorEastAsia" w:hAnsiTheme="majorEastAsia" w:eastAsiaTheme="majorEastAsia"/>
                <w:sz w:val="24"/>
                <w:szCs w:val="24"/>
              </w:rPr>
            </w:pPr>
          </w:p>
        </w:tc>
        <w:tc>
          <w:tcPr>
            <w:tcW w:w="1241" w:type="dxa"/>
            <w:vAlign w:val="center"/>
          </w:tcPr>
          <w:p>
            <w:pPr>
              <w:spacing w:line="480" w:lineRule="exact"/>
              <w:jc w:val="center"/>
              <w:rPr>
                <w:rFonts w:cs="宋体" w:asciiTheme="majorEastAsia" w:hAnsiTheme="majorEastAsia" w:eastAsiaTheme="majorEastAsia"/>
                <w:sz w:val="24"/>
                <w:szCs w:val="24"/>
              </w:rPr>
            </w:pPr>
          </w:p>
        </w:tc>
        <w:tc>
          <w:tcPr>
            <w:tcW w:w="2341" w:type="dxa"/>
            <w:vAlign w:val="center"/>
          </w:tcPr>
          <w:p>
            <w:pPr>
              <w:spacing w:line="480" w:lineRule="exact"/>
              <w:jc w:val="center"/>
              <w:rPr>
                <w:rFonts w:cs="宋体" w:asciiTheme="majorEastAsia" w:hAnsiTheme="majorEastAsia" w:eastAsiaTheme="majorEastAsia"/>
                <w:sz w:val="24"/>
                <w:szCs w:val="24"/>
              </w:rPr>
            </w:pPr>
          </w:p>
        </w:tc>
        <w:tc>
          <w:tcPr>
            <w:tcW w:w="981" w:type="dxa"/>
            <w:vAlign w:val="center"/>
          </w:tcPr>
          <w:p>
            <w:pPr>
              <w:spacing w:line="480" w:lineRule="exa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cs="宋体" w:asciiTheme="majorEastAsia" w:hAnsiTheme="majorEastAsia" w:eastAsiaTheme="majorEastAsia"/>
                <w:szCs w:val="21"/>
              </w:rPr>
            </w:pPr>
          </w:p>
        </w:tc>
        <w:tc>
          <w:tcPr>
            <w:tcW w:w="1180" w:type="dxa"/>
            <w:vAlign w:val="center"/>
          </w:tcPr>
          <w:p>
            <w:pPr>
              <w:spacing w:line="480" w:lineRule="exact"/>
              <w:jc w:val="center"/>
              <w:rPr>
                <w:rFonts w:cs="宋体" w:asciiTheme="majorEastAsia" w:hAnsiTheme="majorEastAsia" w:eastAsiaTheme="majorEastAsia"/>
                <w:szCs w:val="21"/>
              </w:rPr>
            </w:pPr>
          </w:p>
        </w:tc>
        <w:tc>
          <w:tcPr>
            <w:tcW w:w="2444" w:type="dxa"/>
            <w:vAlign w:val="center"/>
          </w:tcPr>
          <w:p>
            <w:pPr>
              <w:spacing w:line="480" w:lineRule="exact"/>
              <w:jc w:val="center"/>
              <w:rPr>
                <w:rFonts w:cs="宋体" w:asciiTheme="majorEastAsia" w:hAnsiTheme="majorEastAsia" w:eastAsiaTheme="majorEastAsia"/>
                <w:szCs w:val="21"/>
              </w:rPr>
            </w:pPr>
          </w:p>
        </w:tc>
        <w:tc>
          <w:tcPr>
            <w:tcW w:w="1241" w:type="dxa"/>
            <w:vAlign w:val="center"/>
          </w:tcPr>
          <w:p>
            <w:pPr>
              <w:spacing w:line="480" w:lineRule="exact"/>
              <w:jc w:val="center"/>
              <w:rPr>
                <w:rFonts w:cs="宋体" w:asciiTheme="majorEastAsia" w:hAnsiTheme="majorEastAsia" w:eastAsiaTheme="majorEastAsia"/>
                <w:szCs w:val="21"/>
              </w:rPr>
            </w:pPr>
          </w:p>
        </w:tc>
        <w:tc>
          <w:tcPr>
            <w:tcW w:w="2341" w:type="dxa"/>
            <w:vAlign w:val="center"/>
          </w:tcPr>
          <w:p>
            <w:pPr>
              <w:spacing w:line="480" w:lineRule="exact"/>
              <w:jc w:val="center"/>
              <w:rPr>
                <w:rFonts w:cs="宋体" w:asciiTheme="majorEastAsia" w:hAnsiTheme="majorEastAsia" w:eastAsiaTheme="majorEastAsia"/>
                <w:szCs w:val="21"/>
              </w:rPr>
            </w:pPr>
          </w:p>
        </w:tc>
        <w:tc>
          <w:tcPr>
            <w:tcW w:w="981"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cs="宋体" w:asciiTheme="majorEastAsia" w:hAnsiTheme="majorEastAsia" w:eastAsiaTheme="majorEastAsia"/>
                <w:szCs w:val="21"/>
              </w:rPr>
            </w:pPr>
          </w:p>
        </w:tc>
        <w:tc>
          <w:tcPr>
            <w:tcW w:w="1180" w:type="dxa"/>
            <w:vAlign w:val="center"/>
          </w:tcPr>
          <w:p>
            <w:pPr>
              <w:spacing w:line="480" w:lineRule="exact"/>
              <w:jc w:val="center"/>
              <w:rPr>
                <w:rFonts w:cs="宋体" w:asciiTheme="majorEastAsia" w:hAnsiTheme="majorEastAsia" w:eastAsiaTheme="majorEastAsia"/>
                <w:szCs w:val="21"/>
              </w:rPr>
            </w:pPr>
          </w:p>
        </w:tc>
        <w:tc>
          <w:tcPr>
            <w:tcW w:w="2444" w:type="dxa"/>
            <w:vAlign w:val="center"/>
          </w:tcPr>
          <w:p>
            <w:pPr>
              <w:spacing w:line="480" w:lineRule="exact"/>
              <w:jc w:val="center"/>
              <w:rPr>
                <w:rFonts w:cs="宋体" w:asciiTheme="majorEastAsia" w:hAnsiTheme="majorEastAsia" w:eastAsiaTheme="majorEastAsia"/>
                <w:szCs w:val="21"/>
              </w:rPr>
            </w:pPr>
          </w:p>
        </w:tc>
        <w:tc>
          <w:tcPr>
            <w:tcW w:w="1241" w:type="dxa"/>
            <w:vAlign w:val="center"/>
          </w:tcPr>
          <w:p>
            <w:pPr>
              <w:spacing w:line="480" w:lineRule="exact"/>
              <w:jc w:val="center"/>
              <w:rPr>
                <w:rFonts w:cs="宋体" w:asciiTheme="majorEastAsia" w:hAnsiTheme="majorEastAsia" w:eastAsiaTheme="majorEastAsia"/>
                <w:szCs w:val="21"/>
              </w:rPr>
            </w:pPr>
          </w:p>
        </w:tc>
        <w:tc>
          <w:tcPr>
            <w:tcW w:w="2341" w:type="dxa"/>
            <w:vAlign w:val="center"/>
          </w:tcPr>
          <w:p>
            <w:pPr>
              <w:spacing w:line="480" w:lineRule="exact"/>
              <w:jc w:val="center"/>
              <w:rPr>
                <w:rFonts w:cs="宋体" w:asciiTheme="majorEastAsia" w:hAnsiTheme="majorEastAsia" w:eastAsiaTheme="majorEastAsia"/>
                <w:szCs w:val="21"/>
              </w:rPr>
            </w:pPr>
          </w:p>
        </w:tc>
        <w:tc>
          <w:tcPr>
            <w:tcW w:w="981"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cs="宋体" w:asciiTheme="majorEastAsia" w:hAnsiTheme="majorEastAsia" w:eastAsiaTheme="majorEastAsia"/>
                <w:szCs w:val="21"/>
              </w:rPr>
            </w:pPr>
          </w:p>
        </w:tc>
        <w:tc>
          <w:tcPr>
            <w:tcW w:w="1180" w:type="dxa"/>
            <w:vAlign w:val="center"/>
          </w:tcPr>
          <w:p>
            <w:pPr>
              <w:spacing w:line="480" w:lineRule="exact"/>
              <w:jc w:val="center"/>
              <w:rPr>
                <w:rFonts w:cs="宋体" w:asciiTheme="majorEastAsia" w:hAnsiTheme="majorEastAsia" w:eastAsiaTheme="majorEastAsia"/>
                <w:szCs w:val="21"/>
              </w:rPr>
            </w:pPr>
          </w:p>
        </w:tc>
        <w:tc>
          <w:tcPr>
            <w:tcW w:w="2444" w:type="dxa"/>
            <w:vAlign w:val="center"/>
          </w:tcPr>
          <w:p>
            <w:pPr>
              <w:spacing w:line="480" w:lineRule="exact"/>
              <w:jc w:val="center"/>
              <w:rPr>
                <w:rFonts w:cs="宋体" w:asciiTheme="majorEastAsia" w:hAnsiTheme="majorEastAsia" w:eastAsiaTheme="majorEastAsia"/>
                <w:szCs w:val="21"/>
              </w:rPr>
            </w:pPr>
          </w:p>
        </w:tc>
        <w:tc>
          <w:tcPr>
            <w:tcW w:w="1241" w:type="dxa"/>
            <w:vAlign w:val="center"/>
          </w:tcPr>
          <w:p>
            <w:pPr>
              <w:spacing w:line="480" w:lineRule="exact"/>
              <w:jc w:val="center"/>
              <w:rPr>
                <w:rFonts w:cs="宋体" w:asciiTheme="majorEastAsia" w:hAnsiTheme="majorEastAsia" w:eastAsiaTheme="majorEastAsia"/>
                <w:szCs w:val="21"/>
              </w:rPr>
            </w:pPr>
          </w:p>
        </w:tc>
        <w:tc>
          <w:tcPr>
            <w:tcW w:w="2341" w:type="dxa"/>
            <w:vAlign w:val="center"/>
          </w:tcPr>
          <w:p>
            <w:pPr>
              <w:spacing w:line="480" w:lineRule="exact"/>
              <w:jc w:val="center"/>
              <w:rPr>
                <w:rFonts w:cs="宋体" w:asciiTheme="majorEastAsia" w:hAnsiTheme="majorEastAsia" w:eastAsiaTheme="majorEastAsia"/>
                <w:szCs w:val="21"/>
              </w:rPr>
            </w:pPr>
          </w:p>
        </w:tc>
        <w:tc>
          <w:tcPr>
            <w:tcW w:w="981"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cs="宋体" w:asciiTheme="majorEastAsia" w:hAnsiTheme="majorEastAsia" w:eastAsiaTheme="majorEastAsia"/>
                <w:szCs w:val="21"/>
              </w:rPr>
            </w:pPr>
          </w:p>
        </w:tc>
        <w:tc>
          <w:tcPr>
            <w:tcW w:w="1180" w:type="dxa"/>
            <w:vAlign w:val="center"/>
          </w:tcPr>
          <w:p>
            <w:pPr>
              <w:spacing w:line="480" w:lineRule="exact"/>
              <w:jc w:val="center"/>
              <w:rPr>
                <w:rFonts w:cs="宋体" w:asciiTheme="majorEastAsia" w:hAnsiTheme="majorEastAsia" w:eastAsiaTheme="majorEastAsia"/>
                <w:szCs w:val="21"/>
              </w:rPr>
            </w:pPr>
          </w:p>
        </w:tc>
        <w:tc>
          <w:tcPr>
            <w:tcW w:w="2444" w:type="dxa"/>
            <w:vAlign w:val="center"/>
          </w:tcPr>
          <w:p>
            <w:pPr>
              <w:spacing w:line="480" w:lineRule="exact"/>
              <w:jc w:val="center"/>
              <w:rPr>
                <w:rFonts w:cs="宋体" w:asciiTheme="majorEastAsia" w:hAnsiTheme="majorEastAsia" w:eastAsiaTheme="majorEastAsia"/>
                <w:szCs w:val="21"/>
              </w:rPr>
            </w:pPr>
          </w:p>
        </w:tc>
        <w:tc>
          <w:tcPr>
            <w:tcW w:w="1241" w:type="dxa"/>
            <w:vAlign w:val="center"/>
          </w:tcPr>
          <w:p>
            <w:pPr>
              <w:spacing w:line="480" w:lineRule="exact"/>
              <w:jc w:val="center"/>
              <w:rPr>
                <w:rFonts w:cs="宋体" w:asciiTheme="majorEastAsia" w:hAnsiTheme="majorEastAsia" w:eastAsiaTheme="majorEastAsia"/>
                <w:szCs w:val="21"/>
              </w:rPr>
            </w:pPr>
          </w:p>
        </w:tc>
        <w:tc>
          <w:tcPr>
            <w:tcW w:w="2341" w:type="dxa"/>
            <w:vAlign w:val="center"/>
          </w:tcPr>
          <w:p>
            <w:pPr>
              <w:spacing w:line="480" w:lineRule="exact"/>
              <w:jc w:val="center"/>
              <w:rPr>
                <w:rFonts w:cs="宋体" w:asciiTheme="majorEastAsia" w:hAnsiTheme="majorEastAsia" w:eastAsiaTheme="majorEastAsia"/>
                <w:szCs w:val="21"/>
              </w:rPr>
            </w:pPr>
          </w:p>
        </w:tc>
        <w:tc>
          <w:tcPr>
            <w:tcW w:w="981"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cs="宋体" w:asciiTheme="majorEastAsia" w:hAnsiTheme="majorEastAsia" w:eastAsiaTheme="majorEastAsia"/>
                <w:szCs w:val="21"/>
              </w:rPr>
            </w:pPr>
          </w:p>
        </w:tc>
        <w:tc>
          <w:tcPr>
            <w:tcW w:w="1180" w:type="dxa"/>
            <w:vAlign w:val="center"/>
          </w:tcPr>
          <w:p>
            <w:pPr>
              <w:spacing w:line="480" w:lineRule="exact"/>
              <w:jc w:val="center"/>
              <w:rPr>
                <w:rFonts w:cs="宋体" w:asciiTheme="majorEastAsia" w:hAnsiTheme="majorEastAsia" w:eastAsiaTheme="majorEastAsia"/>
                <w:szCs w:val="21"/>
              </w:rPr>
            </w:pPr>
          </w:p>
        </w:tc>
        <w:tc>
          <w:tcPr>
            <w:tcW w:w="2444" w:type="dxa"/>
            <w:vAlign w:val="center"/>
          </w:tcPr>
          <w:p>
            <w:pPr>
              <w:spacing w:line="480" w:lineRule="exact"/>
              <w:jc w:val="center"/>
              <w:rPr>
                <w:rFonts w:cs="宋体" w:asciiTheme="majorEastAsia" w:hAnsiTheme="majorEastAsia" w:eastAsiaTheme="majorEastAsia"/>
                <w:szCs w:val="21"/>
              </w:rPr>
            </w:pPr>
          </w:p>
        </w:tc>
        <w:tc>
          <w:tcPr>
            <w:tcW w:w="1241" w:type="dxa"/>
            <w:vAlign w:val="center"/>
          </w:tcPr>
          <w:p>
            <w:pPr>
              <w:spacing w:line="480" w:lineRule="exact"/>
              <w:jc w:val="center"/>
              <w:rPr>
                <w:rFonts w:cs="宋体" w:asciiTheme="majorEastAsia" w:hAnsiTheme="majorEastAsia" w:eastAsiaTheme="majorEastAsia"/>
                <w:szCs w:val="21"/>
              </w:rPr>
            </w:pPr>
          </w:p>
        </w:tc>
        <w:tc>
          <w:tcPr>
            <w:tcW w:w="2341" w:type="dxa"/>
            <w:vAlign w:val="center"/>
          </w:tcPr>
          <w:p>
            <w:pPr>
              <w:spacing w:line="480" w:lineRule="exact"/>
              <w:jc w:val="center"/>
              <w:rPr>
                <w:rFonts w:cs="宋体" w:asciiTheme="majorEastAsia" w:hAnsiTheme="majorEastAsia" w:eastAsiaTheme="majorEastAsia"/>
                <w:szCs w:val="21"/>
              </w:rPr>
            </w:pPr>
          </w:p>
        </w:tc>
        <w:tc>
          <w:tcPr>
            <w:tcW w:w="981"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cs="宋体" w:asciiTheme="majorEastAsia" w:hAnsiTheme="majorEastAsia" w:eastAsiaTheme="majorEastAsia"/>
                <w:szCs w:val="21"/>
              </w:rPr>
            </w:pPr>
          </w:p>
        </w:tc>
        <w:tc>
          <w:tcPr>
            <w:tcW w:w="1180" w:type="dxa"/>
            <w:vAlign w:val="center"/>
          </w:tcPr>
          <w:p>
            <w:pPr>
              <w:spacing w:line="480" w:lineRule="exact"/>
              <w:jc w:val="center"/>
              <w:rPr>
                <w:rFonts w:cs="宋体" w:asciiTheme="majorEastAsia" w:hAnsiTheme="majorEastAsia" w:eastAsiaTheme="majorEastAsia"/>
                <w:szCs w:val="21"/>
              </w:rPr>
            </w:pPr>
          </w:p>
        </w:tc>
        <w:tc>
          <w:tcPr>
            <w:tcW w:w="2444" w:type="dxa"/>
            <w:vAlign w:val="center"/>
          </w:tcPr>
          <w:p>
            <w:pPr>
              <w:spacing w:line="480" w:lineRule="exact"/>
              <w:jc w:val="center"/>
              <w:rPr>
                <w:rFonts w:cs="宋体" w:asciiTheme="majorEastAsia" w:hAnsiTheme="majorEastAsia" w:eastAsiaTheme="majorEastAsia"/>
                <w:szCs w:val="21"/>
              </w:rPr>
            </w:pPr>
          </w:p>
        </w:tc>
        <w:tc>
          <w:tcPr>
            <w:tcW w:w="1241" w:type="dxa"/>
            <w:vAlign w:val="center"/>
          </w:tcPr>
          <w:p>
            <w:pPr>
              <w:spacing w:line="480" w:lineRule="exact"/>
              <w:jc w:val="center"/>
              <w:rPr>
                <w:rFonts w:cs="宋体" w:asciiTheme="majorEastAsia" w:hAnsiTheme="majorEastAsia" w:eastAsiaTheme="majorEastAsia"/>
                <w:szCs w:val="21"/>
              </w:rPr>
            </w:pPr>
          </w:p>
        </w:tc>
        <w:tc>
          <w:tcPr>
            <w:tcW w:w="2341" w:type="dxa"/>
            <w:vAlign w:val="center"/>
          </w:tcPr>
          <w:p>
            <w:pPr>
              <w:spacing w:line="480" w:lineRule="exact"/>
              <w:jc w:val="center"/>
              <w:rPr>
                <w:rFonts w:cs="宋体" w:asciiTheme="majorEastAsia" w:hAnsiTheme="majorEastAsia" w:eastAsiaTheme="majorEastAsia"/>
                <w:szCs w:val="21"/>
              </w:rPr>
            </w:pPr>
          </w:p>
        </w:tc>
        <w:tc>
          <w:tcPr>
            <w:tcW w:w="981"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cs="宋体" w:asciiTheme="majorEastAsia" w:hAnsiTheme="majorEastAsia" w:eastAsiaTheme="majorEastAsia"/>
                <w:szCs w:val="21"/>
              </w:rPr>
            </w:pPr>
          </w:p>
        </w:tc>
        <w:tc>
          <w:tcPr>
            <w:tcW w:w="1180" w:type="dxa"/>
            <w:vAlign w:val="center"/>
          </w:tcPr>
          <w:p>
            <w:pPr>
              <w:spacing w:line="480" w:lineRule="exact"/>
              <w:jc w:val="center"/>
              <w:rPr>
                <w:rFonts w:cs="宋体" w:asciiTheme="majorEastAsia" w:hAnsiTheme="majorEastAsia" w:eastAsiaTheme="majorEastAsia"/>
                <w:szCs w:val="21"/>
              </w:rPr>
            </w:pPr>
          </w:p>
        </w:tc>
        <w:tc>
          <w:tcPr>
            <w:tcW w:w="2444" w:type="dxa"/>
            <w:vAlign w:val="center"/>
          </w:tcPr>
          <w:p>
            <w:pPr>
              <w:spacing w:line="480" w:lineRule="exact"/>
              <w:jc w:val="center"/>
              <w:rPr>
                <w:rFonts w:cs="宋体" w:asciiTheme="majorEastAsia" w:hAnsiTheme="majorEastAsia" w:eastAsiaTheme="majorEastAsia"/>
                <w:szCs w:val="21"/>
              </w:rPr>
            </w:pPr>
          </w:p>
        </w:tc>
        <w:tc>
          <w:tcPr>
            <w:tcW w:w="1241" w:type="dxa"/>
            <w:vAlign w:val="center"/>
          </w:tcPr>
          <w:p>
            <w:pPr>
              <w:spacing w:line="480" w:lineRule="exact"/>
              <w:jc w:val="center"/>
              <w:rPr>
                <w:rFonts w:cs="宋体" w:asciiTheme="majorEastAsia" w:hAnsiTheme="majorEastAsia" w:eastAsiaTheme="majorEastAsia"/>
                <w:szCs w:val="21"/>
              </w:rPr>
            </w:pPr>
          </w:p>
        </w:tc>
        <w:tc>
          <w:tcPr>
            <w:tcW w:w="2341" w:type="dxa"/>
            <w:vAlign w:val="center"/>
          </w:tcPr>
          <w:p>
            <w:pPr>
              <w:spacing w:line="480" w:lineRule="exact"/>
              <w:jc w:val="center"/>
              <w:rPr>
                <w:rFonts w:cs="宋体" w:asciiTheme="majorEastAsia" w:hAnsiTheme="majorEastAsia" w:eastAsiaTheme="majorEastAsia"/>
                <w:szCs w:val="21"/>
              </w:rPr>
            </w:pPr>
          </w:p>
        </w:tc>
        <w:tc>
          <w:tcPr>
            <w:tcW w:w="981"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cs="宋体" w:asciiTheme="majorEastAsia" w:hAnsiTheme="majorEastAsia" w:eastAsiaTheme="majorEastAsia"/>
                <w:szCs w:val="21"/>
              </w:rPr>
            </w:pPr>
          </w:p>
        </w:tc>
        <w:tc>
          <w:tcPr>
            <w:tcW w:w="1180" w:type="dxa"/>
            <w:vAlign w:val="center"/>
          </w:tcPr>
          <w:p>
            <w:pPr>
              <w:spacing w:line="480" w:lineRule="exact"/>
              <w:jc w:val="center"/>
              <w:rPr>
                <w:rFonts w:cs="宋体" w:asciiTheme="majorEastAsia" w:hAnsiTheme="majorEastAsia" w:eastAsiaTheme="majorEastAsia"/>
                <w:szCs w:val="21"/>
              </w:rPr>
            </w:pPr>
          </w:p>
        </w:tc>
        <w:tc>
          <w:tcPr>
            <w:tcW w:w="2444" w:type="dxa"/>
            <w:vAlign w:val="center"/>
          </w:tcPr>
          <w:p>
            <w:pPr>
              <w:spacing w:line="480" w:lineRule="exact"/>
              <w:jc w:val="center"/>
              <w:rPr>
                <w:rFonts w:cs="宋体" w:asciiTheme="majorEastAsia" w:hAnsiTheme="majorEastAsia" w:eastAsiaTheme="majorEastAsia"/>
                <w:szCs w:val="21"/>
              </w:rPr>
            </w:pPr>
          </w:p>
        </w:tc>
        <w:tc>
          <w:tcPr>
            <w:tcW w:w="1241" w:type="dxa"/>
            <w:vAlign w:val="center"/>
          </w:tcPr>
          <w:p>
            <w:pPr>
              <w:spacing w:line="480" w:lineRule="exact"/>
              <w:jc w:val="center"/>
              <w:rPr>
                <w:rFonts w:cs="宋体" w:asciiTheme="majorEastAsia" w:hAnsiTheme="majorEastAsia" w:eastAsiaTheme="majorEastAsia"/>
                <w:szCs w:val="21"/>
              </w:rPr>
            </w:pPr>
          </w:p>
        </w:tc>
        <w:tc>
          <w:tcPr>
            <w:tcW w:w="2341" w:type="dxa"/>
            <w:vAlign w:val="center"/>
          </w:tcPr>
          <w:p>
            <w:pPr>
              <w:spacing w:line="480" w:lineRule="exact"/>
              <w:jc w:val="center"/>
              <w:rPr>
                <w:rFonts w:cs="宋体" w:asciiTheme="majorEastAsia" w:hAnsiTheme="majorEastAsia" w:eastAsiaTheme="majorEastAsia"/>
                <w:szCs w:val="21"/>
              </w:rPr>
            </w:pPr>
          </w:p>
        </w:tc>
        <w:tc>
          <w:tcPr>
            <w:tcW w:w="981"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cs="宋体" w:asciiTheme="majorEastAsia" w:hAnsiTheme="majorEastAsia" w:eastAsiaTheme="majorEastAsia"/>
                <w:szCs w:val="21"/>
              </w:rPr>
            </w:pPr>
          </w:p>
        </w:tc>
        <w:tc>
          <w:tcPr>
            <w:tcW w:w="1180" w:type="dxa"/>
            <w:vAlign w:val="center"/>
          </w:tcPr>
          <w:p>
            <w:pPr>
              <w:spacing w:line="480" w:lineRule="exact"/>
              <w:jc w:val="center"/>
              <w:rPr>
                <w:rFonts w:cs="宋体" w:asciiTheme="majorEastAsia" w:hAnsiTheme="majorEastAsia" w:eastAsiaTheme="majorEastAsia"/>
                <w:szCs w:val="21"/>
              </w:rPr>
            </w:pPr>
          </w:p>
        </w:tc>
        <w:tc>
          <w:tcPr>
            <w:tcW w:w="2444" w:type="dxa"/>
            <w:vAlign w:val="center"/>
          </w:tcPr>
          <w:p>
            <w:pPr>
              <w:spacing w:line="480" w:lineRule="exact"/>
              <w:jc w:val="center"/>
              <w:rPr>
                <w:rFonts w:cs="宋体" w:asciiTheme="majorEastAsia" w:hAnsiTheme="majorEastAsia" w:eastAsiaTheme="majorEastAsia"/>
                <w:szCs w:val="21"/>
              </w:rPr>
            </w:pPr>
          </w:p>
        </w:tc>
        <w:tc>
          <w:tcPr>
            <w:tcW w:w="1241" w:type="dxa"/>
            <w:vAlign w:val="center"/>
          </w:tcPr>
          <w:p>
            <w:pPr>
              <w:spacing w:line="480" w:lineRule="exact"/>
              <w:jc w:val="center"/>
              <w:rPr>
                <w:rFonts w:cs="宋体" w:asciiTheme="majorEastAsia" w:hAnsiTheme="majorEastAsia" w:eastAsiaTheme="majorEastAsia"/>
                <w:szCs w:val="21"/>
              </w:rPr>
            </w:pPr>
          </w:p>
        </w:tc>
        <w:tc>
          <w:tcPr>
            <w:tcW w:w="2341" w:type="dxa"/>
            <w:vAlign w:val="center"/>
          </w:tcPr>
          <w:p>
            <w:pPr>
              <w:spacing w:line="480" w:lineRule="exact"/>
              <w:jc w:val="center"/>
              <w:rPr>
                <w:rFonts w:cs="宋体" w:asciiTheme="majorEastAsia" w:hAnsiTheme="majorEastAsia" w:eastAsiaTheme="majorEastAsia"/>
                <w:szCs w:val="21"/>
              </w:rPr>
            </w:pPr>
          </w:p>
        </w:tc>
        <w:tc>
          <w:tcPr>
            <w:tcW w:w="981"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cs="宋体" w:asciiTheme="majorEastAsia" w:hAnsiTheme="majorEastAsia" w:eastAsiaTheme="majorEastAsia"/>
                <w:szCs w:val="21"/>
              </w:rPr>
            </w:pPr>
          </w:p>
        </w:tc>
        <w:tc>
          <w:tcPr>
            <w:tcW w:w="1180" w:type="dxa"/>
            <w:vAlign w:val="center"/>
          </w:tcPr>
          <w:p>
            <w:pPr>
              <w:spacing w:line="480" w:lineRule="exact"/>
              <w:jc w:val="center"/>
              <w:rPr>
                <w:rFonts w:cs="宋体" w:asciiTheme="majorEastAsia" w:hAnsiTheme="majorEastAsia" w:eastAsiaTheme="majorEastAsia"/>
                <w:szCs w:val="21"/>
              </w:rPr>
            </w:pPr>
          </w:p>
        </w:tc>
        <w:tc>
          <w:tcPr>
            <w:tcW w:w="2444" w:type="dxa"/>
            <w:vAlign w:val="center"/>
          </w:tcPr>
          <w:p>
            <w:pPr>
              <w:spacing w:line="480" w:lineRule="exact"/>
              <w:jc w:val="center"/>
              <w:rPr>
                <w:rFonts w:cs="宋体" w:asciiTheme="majorEastAsia" w:hAnsiTheme="majorEastAsia" w:eastAsiaTheme="majorEastAsia"/>
                <w:szCs w:val="21"/>
              </w:rPr>
            </w:pPr>
          </w:p>
        </w:tc>
        <w:tc>
          <w:tcPr>
            <w:tcW w:w="1241" w:type="dxa"/>
            <w:vAlign w:val="center"/>
          </w:tcPr>
          <w:p>
            <w:pPr>
              <w:spacing w:line="480" w:lineRule="exact"/>
              <w:jc w:val="center"/>
              <w:rPr>
                <w:rFonts w:cs="宋体" w:asciiTheme="majorEastAsia" w:hAnsiTheme="majorEastAsia" w:eastAsiaTheme="majorEastAsia"/>
                <w:szCs w:val="21"/>
              </w:rPr>
            </w:pPr>
          </w:p>
        </w:tc>
        <w:tc>
          <w:tcPr>
            <w:tcW w:w="2341" w:type="dxa"/>
            <w:vAlign w:val="center"/>
          </w:tcPr>
          <w:p>
            <w:pPr>
              <w:spacing w:line="480" w:lineRule="exact"/>
              <w:jc w:val="center"/>
              <w:rPr>
                <w:rFonts w:cs="宋体" w:asciiTheme="majorEastAsia" w:hAnsiTheme="majorEastAsia" w:eastAsiaTheme="majorEastAsia"/>
                <w:szCs w:val="21"/>
              </w:rPr>
            </w:pPr>
          </w:p>
        </w:tc>
        <w:tc>
          <w:tcPr>
            <w:tcW w:w="981"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cs="宋体" w:asciiTheme="majorEastAsia" w:hAnsiTheme="majorEastAsia" w:eastAsiaTheme="majorEastAsia"/>
                <w:szCs w:val="21"/>
              </w:rPr>
            </w:pPr>
          </w:p>
        </w:tc>
        <w:tc>
          <w:tcPr>
            <w:tcW w:w="1180" w:type="dxa"/>
            <w:vAlign w:val="center"/>
          </w:tcPr>
          <w:p>
            <w:pPr>
              <w:spacing w:line="480" w:lineRule="exact"/>
              <w:jc w:val="center"/>
              <w:rPr>
                <w:rFonts w:cs="宋体" w:asciiTheme="majorEastAsia" w:hAnsiTheme="majorEastAsia" w:eastAsiaTheme="majorEastAsia"/>
                <w:szCs w:val="21"/>
              </w:rPr>
            </w:pPr>
          </w:p>
        </w:tc>
        <w:tc>
          <w:tcPr>
            <w:tcW w:w="2444" w:type="dxa"/>
            <w:vAlign w:val="center"/>
          </w:tcPr>
          <w:p>
            <w:pPr>
              <w:spacing w:line="480" w:lineRule="exact"/>
              <w:jc w:val="center"/>
              <w:rPr>
                <w:rFonts w:cs="宋体" w:asciiTheme="majorEastAsia" w:hAnsiTheme="majorEastAsia" w:eastAsiaTheme="majorEastAsia"/>
                <w:szCs w:val="21"/>
              </w:rPr>
            </w:pPr>
          </w:p>
        </w:tc>
        <w:tc>
          <w:tcPr>
            <w:tcW w:w="1241" w:type="dxa"/>
            <w:vAlign w:val="center"/>
          </w:tcPr>
          <w:p>
            <w:pPr>
              <w:spacing w:line="480" w:lineRule="exact"/>
              <w:jc w:val="center"/>
              <w:rPr>
                <w:rFonts w:cs="宋体" w:asciiTheme="majorEastAsia" w:hAnsiTheme="majorEastAsia" w:eastAsiaTheme="majorEastAsia"/>
                <w:szCs w:val="21"/>
              </w:rPr>
            </w:pPr>
          </w:p>
        </w:tc>
        <w:tc>
          <w:tcPr>
            <w:tcW w:w="2341" w:type="dxa"/>
            <w:vAlign w:val="center"/>
          </w:tcPr>
          <w:p>
            <w:pPr>
              <w:spacing w:line="480" w:lineRule="exact"/>
              <w:jc w:val="center"/>
              <w:rPr>
                <w:rFonts w:cs="宋体" w:asciiTheme="majorEastAsia" w:hAnsiTheme="majorEastAsia" w:eastAsiaTheme="majorEastAsia"/>
                <w:szCs w:val="21"/>
              </w:rPr>
            </w:pPr>
          </w:p>
        </w:tc>
        <w:tc>
          <w:tcPr>
            <w:tcW w:w="981"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cs="宋体" w:asciiTheme="majorEastAsia" w:hAnsiTheme="majorEastAsia" w:eastAsiaTheme="majorEastAsia"/>
                <w:szCs w:val="21"/>
              </w:rPr>
            </w:pPr>
          </w:p>
        </w:tc>
        <w:tc>
          <w:tcPr>
            <w:tcW w:w="1180" w:type="dxa"/>
            <w:vAlign w:val="center"/>
          </w:tcPr>
          <w:p>
            <w:pPr>
              <w:spacing w:line="480" w:lineRule="exact"/>
              <w:jc w:val="center"/>
              <w:rPr>
                <w:rFonts w:cs="宋体" w:asciiTheme="majorEastAsia" w:hAnsiTheme="majorEastAsia" w:eastAsiaTheme="majorEastAsia"/>
                <w:szCs w:val="21"/>
              </w:rPr>
            </w:pPr>
          </w:p>
        </w:tc>
        <w:tc>
          <w:tcPr>
            <w:tcW w:w="2444" w:type="dxa"/>
            <w:vAlign w:val="center"/>
          </w:tcPr>
          <w:p>
            <w:pPr>
              <w:spacing w:line="480" w:lineRule="exact"/>
              <w:jc w:val="center"/>
              <w:rPr>
                <w:rFonts w:cs="宋体" w:asciiTheme="majorEastAsia" w:hAnsiTheme="majorEastAsia" w:eastAsiaTheme="majorEastAsia"/>
                <w:szCs w:val="21"/>
              </w:rPr>
            </w:pPr>
          </w:p>
        </w:tc>
        <w:tc>
          <w:tcPr>
            <w:tcW w:w="1241" w:type="dxa"/>
            <w:vAlign w:val="center"/>
          </w:tcPr>
          <w:p>
            <w:pPr>
              <w:spacing w:line="480" w:lineRule="exact"/>
              <w:jc w:val="center"/>
              <w:rPr>
                <w:rFonts w:cs="宋体" w:asciiTheme="majorEastAsia" w:hAnsiTheme="majorEastAsia" w:eastAsiaTheme="majorEastAsia"/>
                <w:szCs w:val="21"/>
              </w:rPr>
            </w:pPr>
          </w:p>
        </w:tc>
        <w:tc>
          <w:tcPr>
            <w:tcW w:w="2341" w:type="dxa"/>
            <w:vAlign w:val="center"/>
          </w:tcPr>
          <w:p>
            <w:pPr>
              <w:spacing w:line="480" w:lineRule="exact"/>
              <w:jc w:val="center"/>
              <w:rPr>
                <w:rFonts w:cs="宋体" w:asciiTheme="majorEastAsia" w:hAnsiTheme="majorEastAsia" w:eastAsiaTheme="majorEastAsia"/>
                <w:szCs w:val="21"/>
              </w:rPr>
            </w:pPr>
          </w:p>
        </w:tc>
        <w:tc>
          <w:tcPr>
            <w:tcW w:w="981"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cs="宋体" w:asciiTheme="majorEastAsia" w:hAnsiTheme="majorEastAsia" w:eastAsiaTheme="majorEastAsia"/>
                <w:szCs w:val="21"/>
              </w:rPr>
            </w:pPr>
          </w:p>
        </w:tc>
        <w:tc>
          <w:tcPr>
            <w:tcW w:w="1180" w:type="dxa"/>
            <w:vAlign w:val="center"/>
          </w:tcPr>
          <w:p>
            <w:pPr>
              <w:spacing w:line="480" w:lineRule="exact"/>
              <w:jc w:val="center"/>
              <w:rPr>
                <w:rFonts w:cs="宋体" w:asciiTheme="majorEastAsia" w:hAnsiTheme="majorEastAsia" w:eastAsiaTheme="majorEastAsia"/>
                <w:szCs w:val="21"/>
              </w:rPr>
            </w:pPr>
          </w:p>
        </w:tc>
        <w:tc>
          <w:tcPr>
            <w:tcW w:w="2444" w:type="dxa"/>
            <w:vAlign w:val="center"/>
          </w:tcPr>
          <w:p>
            <w:pPr>
              <w:spacing w:line="480" w:lineRule="exact"/>
              <w:jc w:val="center"/>
              <w:rPr>
                <w:rFonts w:cs="宋体" w:asciiTheme="majorEastAsia" w:hAnsiTheme="majorEastAsia" w:eastAsiaTheme="majorEastAsia"/>
                <w:szCs w:val="21"/>
              </w:rPr>
            </w:pPr>
          </w:p>
        </w:tc>
        <w:tc>
          <w:tcPr>
            <w:tcW w:w="1241" w:type="dxa"/>
            <w:vAlign w:val="center"/>
          </w:tcPr>
          <w:p>
            <w:pPr>
              <w:spacing w:line="480" w:lineRule="exact"/>
              <w:jc w:val="center"/>
              <w:rPr>
                <w:rFonts w:cs="宋体" w:asciiTheme="majorEastAsia" w:hAnsiTheme="majorEastAsia" w:eastAsiaTheme="majorEastAsia"/>
                <w:szCs w:val="21"/>
              </w:rPr>
            </w:pPr>
          </w:p>
        </w:tc>
        <w:tc>
          <w:tcPr>
            <w:tcW w:w="2341" w:type="dxa"/>
            <w:vAlign w:val="center"/>
          </w:tcPr>
          <w:p>
            <w:pPr>
              <w:spacing w:line="480" w:lineRule="exact"/>
              <w:jc w:val="center"/>
              <w:rPr>
                <w:rFonts w:cs="宋体" w:asciiTheme="majorEastAsia" w:hAnsiTheme="majorEastAsia" w:eastAsiaTheme="majorEastAsia"/>
                <w:szCs w:val="21"/>
              </w:rPr>
            </w:pPr>
          </w:p>
        </w:tc>
        <w:tc>
          <w:tcPr>
            <w:tcW w:w="981" w:type="dxa"/>
            <w:vAlign w:val="center"/>
          </w:tcPr>
          <w:p>
            <w:pPr>
              <w:spacing w:line="480" w:lineRule="exact"/>
              <w:jc w:val="center"/>
              <w:rPr>
                <w:rFonts w:cs="宋体" w:asciiTheme="majorEastAsia" w:hAnsiTheme="majorEastAsia" w:eastAsiaTheme="majorEastAsia"/>
                <w:szCs w:val="21"/>
              </w:rPr>
            </w:pPr>
          </w:p>
        </w:tc>
      </w:tr>
    </w:tbl>
    <w:p>
      <w:pPr>
        <w:spacing w:line="480" w:lineRule="exact"/>
        <w:rPr>
          <w:rFonts w:cs="宋体" w:asciiTheme="majorEastAsia" w:hAnsiTheme="majorEastAsia" w:eastAsiaTheme="majorEastAsia"/>
          <w:sz w:val="24"/>
        </w:rPr>
      </w:pPr>
    </w:p>
    <w:p>
      <w:pPr>
        <w:spacing w:line="480" w:lineRule="exact"/>
        <w:ind w:firstLine="120" w:firstLineChars="50"/>
        <w:rPr>
          <w:rFonts w:cs="宋体" w:asciiTheme="majorEastAsia" w:hAnsiTheme="majorEastAsia" w:eastAsiaTheme="majorEastAsia"/>
          <w:sz w:val="24"/>
        </w:rPr>
      </w:pPr>
      <w:r>
        <w:rPr>
          <w:rFonts w:hint="eastAsia" w:cs="宋体" w:asciiTheme="majorEastAsia" w:hAnsiTheme="majorEastAsia" w:eastAsiaTheme="majorEastAsia"/>
          <w:sz w:val="24"/>
        </w:rPr>
        <w:t>供应商 （公章）：</w:t>
      </w:r>
    </w:p>
    <w:p>
      <w:pPr>
        <w:spacing w:line="480" w:lineRule="exact"/>
        <w:ind w:firstLine="120" w:firstLineChars="50"/>
        <w:rPr>
          <w:rFonts w:cs="宋体" w:asciiTheme="majorEastAsia" w:hAnsiTheme="majorEastAsia" w:eastAsiaTheme="majorEastAsia"/>
          <w:sz w:val="24"/>
        </w:rPr>
      </w:pPr>
      <w:r>
        <w:rPr>
          <w:rFonts w:hint="eastAsia" w:cs="宋体" w:asciiTheme="majorEastAsia" w:hAnsiTheme="majorEastAsia" w:eastAsiaTheme="majorEastAsia"/>
          <w:sz w:val="24"/>
        </w:rPr>
        <w:t>法定代表人或供应商全权代表：（签字或印章）</w:t>
      </w:r>
    </w:p>
    <w:p>
      <w:pPr>
        <w:spacing w:line="480" w:lineRule="exact"/>
        <w:rPr>
          <w:rFonts w:cs="宋体" w:asciiTheme="majorEastAsia" w:hAnsiTheme="majorEastAsia" w:eastAsiaTheme="majorEastAsia"/>
          <w:sz w:val="24"/>
        </w:rPr>
      </w:pPr>
    </w:p>
    <w:p>
      <w:pPr>
        <w:spacing w:line="480" w:lineRule="exact"/>
        <w:ind w:firstLine="7320" w:firstLineChars="3050"/>
        <w:rPr>
          <w:rFonts w:cs="宋体" w:asciiTheme="majorEastAsia" w:hAnsiTheme="majorEastAsia" w:eastAsiaTheme="majorEastAsia"/>
          <w:sz w:val="24"/>
        </w:rPr>
      </w:pPr>
      <w:r>
        <w:rPr>
          <w:rFonts w:hint="eastAsia" w:cs="宋体" w:asciiTheme="majorEastAsia" w:hAnsiTheme="majorEastAsia" w:eastAsiaTheme="majorEastAsia"/>
          <w:sz w:val="24"/>
        </w:rPr>
        <w:t xml:space="preserve"> </w:t>
      </w:r>
    </w:p>
    <w:p>
      <w:pPr>
        <w:spacing w:line="480" w:lineRule="exact"/>
        <w:ind w:firstLine="7200" w:firstLineChars="3000"/>
        <w:rPr>
          <w:rFonts w:cs="宋体" w:asciiTheme="majorEastAsia" w:hAnsiTheme="majorEastAsia" w:eastAsiaTheme="majorEastAsia"/>
          <w:sz w:val="24"/>
        </w:rPr>
      </w:pPr>
      <w:r>
        <w:rPr>
          <w:rFonts w:hint="eastAsia" w:cs="宋体" w:asciiTheme="majorEastAsia" w:hAnsiTheme="majorEastAsia" w:eastAsiaTheme="majorEastAsia"/>
          <w:sz w:val="24"/>
        </w:rPr>
        <w:t>年   月   日</w:t>
      </w:r>
    </w:p>
    <w:p>
      <w:pPr>
        <w:topLinePunct/>
        <w:spacing w:line="480" w:lineRule="exact"/>
        <w:rPr>
          <w:rFonts w:cs="宋体" w:asciiTheme="majorEastAsia" w:hAnsiTheme="majorEastAsia" w:eastAsiaTheme="majorEastAsia"/>
          <w:sz w:val="24"/>
        </w:rPr>
      </w:pPr>
      <w:r>
        <w:rPr>
          <w:rFonts w:hint="eastAsia" w:cs="宋体" w:asciiTheme="majorEastAsia" w:hAnsiTheme="majorEastAsia" w:eastAsiaTheme="majorEastAsia"/>
          <w:sz w:val="24"/>
        </w:rPr>
        <w:t>附件七：</w:t>
      </w:r>
    </w:p>
    <w:p>
      <w:pPr>
        <w:spacing w:line="480" w:lineRule="exact"/>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技术条款偏离表</w:t>
      </w:r>
    </w:p>
    <w:p>
      <w:pPr>
        <w:spacing w:line="480" w:lineRule="exact"/>
        <w:jc w:val="center"/>
        <w:rPr>
          <w:rFonts w:cs="宋体" w:asciiTheme="majorEastAsia" w:hAnsiTheme="majorEastAsia" w:eastAsiaTheme="majorEastAsia"/>
          <w:b/>
          <w:sz w:val="36"/>
          <w:szCs w:val="36"/>
        </w:rPr>
      </w:pPr>
    </w:p>
    <w:tbl>
      <w:tblPr>
        <w:tblStyle w:val="56"/>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82"/>
        <w:gridCol w:w="2519"/>
        <w:gridCol w:w="1080"/>
        <w:gridCol w:w="251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vMerge w:val="restart"/>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序号</w:t>
            </w:r>
          </w:p>
        </w:tc>
        <w:tc>
          <w:tcPr>
            <w:tcW w:w="3601" w:type="dxa"/>
            <w:gridSpan w:val="2"/>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磋商文件</w:t>
            </w:r>
          </w:p>
        </w:tc>
        <w:tc>
          <w:tcPr>
            <w:tcW w:w="3599" w:type="dxa"/>
            <w:gridSpan w:val="2"/>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响应文件</w:t>
            </w:r>
          </w:p>
        </w:tc>
        <w:tc>
          <w:tcPr>
            <w:tcW w:w="1079" w:type="dxa"/>
            <w:vMerge w:val="restart"/>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vMerge w:val="continue"/>
            <w:vAlign w:val="center"/>
          </w:tcPr>
          <w:p>
            <w:pPr>
              <w:spacing w:line="480" w:lineRule="exact"/>
              <w:jc w:val="center"/>
              <w:rPr>
                <w:rFonts w:cs="宋体" w:asciiTheme="majorEastAsia" w:hAnsiTheme="majorEastAsia" w:eastAsiaTheme="majorEastAsia"/>
                <w:sz w:val="24"/>
                <w:szCs w:val="24"/>
              </w:rPr>
            </w:pPr>
          </w:p>
        </w:tc>
        <w:tc>
          <w:tcPr>
            <w:tcW w:w="1082" w:type="dxa"/>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条款号</w:t>
            </w:r>
          </w:p>
        </w:tc>
        <w:tc>
          <w:tcPr>
            <w:tcW w:w="2519" w:type="dxa"/>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条款内容</w:t>
            </w:r>
          </w:p>
        </w:tc>
        <w:tc>
          <w:tcPr>
            <w:tcW w:w="1080" w:type="dxa"/>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条款号</w:t>
            </w:r>
          </w:p>
        </w:tc>
        <w:tc>
          <w:tcPr>
            <w:tcW w:w="2519" w:type="dxa"/>
            <w:vAlign w:val="center"/>
          </w:tcPr>
          <w:p>
            <w:pPr>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条款内容</w:t>
            </w:r>
          </w:p>
        </w:tc>
        <w:tc>
          <w:tcPr>
            <w:tcW w:w="1079" w:type="dxa"/>
            <w:vMerge w:val="continue"/>
            <w:vAlign w:val="center"/>
          </w:tcPr>
          <w:p>
            <w:pPr>
              <w:spacing w:line="480" w:lineRule="exa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cs="宋体" w:asciiTheme="majorEastAsia" w:hAnsiTheme="majorEastAsia" w:eastAsiaTheme="majorEastAsia"/>
                <w:sz w:val="24"/>
                <w:szCs w:val="24"/>
              </w:rPr>
            </w:pPr>
          </w:p>
        </w:tc>
        <w:tc>
          <w:tcPr>
            <w:tcW w:w="1082" w:type="dxa"/>
            <w:vAlign w:val="center"/>
          </w:tcPr>
          <w:p>
            <w:pPr>
              <w:spacing w:line="480" w:lineRule="exact"/>
              <w:jc w:val="center"/>
              <w:rPr>
                <w:rFonts w:cs="宋体" w:asciiTheme="majorEastAsia" w:hAnsiTheme="majorEastAsia" w:eastAsiaTheme="majorEastAsia"/>
                <w:sz w:val="24"/>
                <w:szCs w:val="24"/>
              </w:rPr>
            </w:pPr>
          </w:p>
        </w:tc>
        <w:tc>
          <w:tcPr>
            <w:tcW w:w="2519" w:type="dxa"/>
            <w:vAlign w:val="center"/>
          </w:tcPr>
          <w:p>
            <w:pPr>
              <w:spacing w:line="480" w:lineRule="exact"/>
              <w:jc w:val="center"/>
              <w:rPr>
                <w:rFonts w:cs="宋体" w:asciiTheme="majorEastAsia" w:hAnsiTheme="majorEastAsia" w:eastAsiaTheme="majorEastAsia"/>
                <w:sz w:val="24"/>
                <w:szCs w:val="24"/>
              </w:rPr>
            </w:pPr>
          </w:p>
        </w:tc>
        <w:tc>
          <w:tcPr>
            <w:tcW w:w="1080" w:type="dxa"/>
            <w:vAlign w:val="center"/>
          </w:tcPr>
          <w:p>
            <w:pPr>
              <w:spacing w:line="480" w:lineRule="exact"/>
              <w:jc w:val="center"/>
              <w:rPr>
                <w:rFonts w:cs="宋体" w:asciiTheme="majorEastAsia" w:hAnsiTheme="majorEastAsia" w:eastAsiaTheme="majorEastAsia"/>
                <w:sz w:val="24"/>
                <w:szCs w:val="24"/>
              </w:rPr>
            </w:pPr>
          </w:p>
        </w:tc>
        <w:tc>
          <w:tcPr>
            <w:tcW w:w="2519" w:type="dxa"/>
            <w:vAlign w:val="center"/>
          </w:tcPr>
          <w:p>
            <w:pPr>
              <w:spacing w:line="480" w:lineRule="exact"/>
              <w:jc w:val="center"/>
              <w:rPr>
                <w:rFonts w:cs="宋体" w:asciiTheme="majorEastAsia" w:hAnsiTheme="majorEastAsia" w:eastAsiaTheme="majorEastAsia"/>
                <w:sz w:val="24"/>
                <w:szCs w:val="24"/>
              </w:rPr>
            </w:pPr>
          </w:p>
        </w:tc>
        <w:tc>
          <w:tcPr>
            <w:tcW w:w="1079" w:type="dxa"/>
            <w:vAlign w:val="center"/>
          </w:tcPr>
          <w:p>
            <w:pPr>
              <w:spacing w:line="480" w:lineRule="exa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cs="宋体" w:asciiTheme="majorEastAsia" w:hAnsiTheme="majorEastAsia" w:eastAsiaTheme="majorEastAsia"/>
                <w:szCs w:val="21"/>
              </w:rPr>
            </w:pPr>
          </w:p>
        </w:tc>
        <w:tc>
          <w:tcPr>
            <w:tcW w:w="1082"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80"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79"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cs="宋体" w:asciiTheme="majorEastAsia" w:hAnsiTheme="majorEastAsia" w:eastAsiaTheme="majorEastAsia"/>
                <w:szCs w:val="21"/>
              </w:rPr>
            </w:pPr>
          </w:p>
        </w:tc>
        <w:tc>
          <w:tcPr>
            <w:tcW w:w="1082"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80"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79"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cs="宋体" w:asciiTheme="majorEastAsia" w:hAnsiTheme="majorEastAsia" w:eastAsiaTheme="majorEastAsia"/>
                <w:szCs w:val="21"/>
              </w:rPr>
            </w:pPr>
          </w:p>
        </w:tc>
        <w:tc>
          <w:tcPr>
            <w:tcW w:w="1082"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80"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79"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cs="宋体" w:asciiTheme="majorEastAsia" w:hAnsiTheme="majorEastAsia" w:eastAsiaTheme="majorEastAsia"/>
                <w:szCs w:val="21"/>
              </w:rPr>
            </w:pPr>
          </w:p>
        </w:tc>
        <w:tc>
          <w:tcPr>
            <w:tcW w:w="1082"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80"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79"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cs="宋体" w:asciiTheme="majorEastAsia" w:hAnsiTheme="majorEastAsia" w:eastAsiaTheme="majorEastAsia"/>
                <w:szCs w:val="21"/>
              </w:rPr>
            </w:pPr>
          </w:p>
        </w:tc>
        <w:tc>
          <w:tcPr>
            <w:tcW w:w="1082"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80"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79"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cs="宋体" w:asciiTheme="majorEastAsia" w:hAnsiTheme="majorEastAsia" w:eastAsiaTheme="majorEastAsia"/>
                <w:szCs w:val="21"/>
              </w:rPr>
            </w:pPr>
          </w:p>
        </w:tc>
        <w:tc>
          <w:tcPr>
            <w:tcW w:w="1082"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80"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79"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cs="宋体" w:asciiTheme="majorEastAsia" w:hAnsiTheme="majorEastAsia" w:eastAsiaTheme="majorEastAsia"/>
                <w:szCs w:val="21"/>
              </w:rPr>
            </w:pPr>
          </w:p>
        </w:tc>
        <w:tc>
          <w:tcPr>
            <w:tcW w:w="1082"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80"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79"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cs="宋体" w:asciiTheme="majorEastAsia" w:hAnsiTheme="majorEastAsia" w:eastAsiaTheme="majorEastAsia"/>
                <w:szCs w:val="21"/>
              </w:rPr>
            </w:pPr>
          </w:p>
        </w:tc>
        <w:tc>
          <w:tcPr>
            <w:tcW w:w="1082"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80"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79"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cs="宋体" w:asciiTheme="majorEastAsia" w:hAnsiTheme="majorEastAsia" w:eastAsiaTheme="majorEastAsia"/>
                <w:szCs w:val="21"/>
              </w:rPr>
            </w:pPr>
          </w:p>
        </w:tc>
        <w:tc>
          <w:tcPr>
            <w:tcW w:w="1082"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80"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79"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cs="宋体" w:asciiTheme="majorEastAsia" w:hAnsiTheme="majorEastAsia" w:eastAsiaTheme="majorEastAsia"/>
                <w:szCs w:val="21"/>
              </w:rPr>
            </w:pPr>
          </w:p>
        </w:tc>
        <w:tc>
          <w:tcPr>
            <w:tcW w:w="1082"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80"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79"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cs="宋体" w:asciiTheme="majorEastAsia" w:hAnsiTheme="majorEastAsia" w:eastAsiaTheme="majorEastAsia"/>
                <w:szCs w:val="21"/>
              </w:rPr>
            </w:pPr>
          </w:p>
        </w:tc>
        <w:tc>
          <w:tcPr>
            <w:tcW w:w="1082"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80"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79"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cs="宋体" w:asciiTheme="majorEastAsia" w:hAnsiTheme="majorEastAsia" w:eastAsiaTheme="majorEastAsia"/>
                <w:szCs w:val="21"/>
              </w:rPr>
            </w:pPr>
          </w:p>
        </w:tc>
        <w:tc>
          <w:tcPr>
            <w:tcW w:w="1082"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80"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79" w:type="dxa"/>
            <w:vAlign w:val="center"/>
          </w:tcPr>
          <w:p>
            <w:pPr>
              <w:spacing w:line="480" w:lineRule="exact"/>
              <w:jc w:val="cente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cs="宋体" w:asciiTheme="majorEastAsia" w:hAnsiTheme="majorEastAsia" w:eastAsiaTheme="majorEastAsia"/>
                <w:szCs w:val="21"/>
              </w:rPr>
            </w:pPr>
          </w:p>
        </w:tc>
        <w:tc>
          <w:tcPr>
            <w:tcW w:w="1082"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80" w:type="dxa"/>
            <w:vAlign w:val="center"/>
          </w:tcPr>
          <w:p>
            <w:pPr>
              <w:spacing w:line="480" w:lineRule="exact"/>
              <w:jc w:val="center"/>
              <w:rPr>
                <w:rFonts w:cs="宋体" w:asciiTheme="majorEastAsia" w:hAnsiTheme="majorEastAsia" w:eastAsiaTheme="majorEastAsia"/>
                <w:szCs w:val="21"/>
              </w:rPr>
            </w:pPr>
          </w:p>
        </w:tc>
        <w:tc>
          <w:tcPr>
            <w:tcW w:w="2519" w:type="dxa"/>
            <w:vAlign w:val="center"/>
          </w:tcPr>
          <w:p>
            <w:pPr>
              <w:spacing w:line="480" w:lineRule="exact"/>
              <w:jc w:val="center"/>
              <w:rPr>
                <w:rFonts w:cs="宋体" w:asciiTheme="majorEastAsia" w:hAnsiTheme="majorEastAsia" w:eastAsiaTheme="majorEastAsia"/>
                <w:szCs w:val="21"/>
              </w:rPr>
            </w:pPr>
          </w:p>
        </w:tc>
        <w:tc>
          <w:tcPr>
            <w:tcW w:w="1079" w:type="dxa"/>
            <w:vAlign w:val="center"/>
          </w:tcPr>
          <w:p>
            <w:pPr>
              <w:spacing w:line="480" w:lineRule="exact"/>
              <w:jc w:val="center"/>
              <w:rPr>
                <w:rFonts w:cs="宋体" w:asciiTheme="majorEastAsia" w:hAnsiTheme="majorEastAsia" w:eastAsiaTheme="majorEastAsia"/>
                <w:szCs w:val="21"/>
              </w:rPr>
            </w:pPr>
          </w:p>
        </w:tc>
      </w:tr>
    </w:tbl>
    <w:p>
      <w:pPr>
        <w:spacing w:line="480" w:lineRule="exact"/>
        <w:rPr>
          <w:rFonts w:cs="宋体" w:asciiTheme="majorEastAsia" w:hAnsiTheme="majorEastAsia" w:eastAsiaTheme="majorEastAsia"/>
          <w:sz w:val="24"/>
        </w:rPr>
      </w:pPr>
    </w:p>
    <w:p>
      <w:pPr>
        <w:spacing w:line="480" w:lineRule="exact"/>
        <w:ind w:firstLine="120" w:firstLineChars="50"/>
        <w:rPr>
          <w:rFonts w:cs="宋体" w:asciiTheme="majorEastAsia" w:hAnsiTheme="majorEastAsia" w:eastAsiaTheme="majorEastAsia"/>
          <w:sz w:val="24"/>
        </w:rPr>
      </w:pPr>
      <w:r>
        <w:rPr>
          <w:rFonts w:hint="eastAsia" w:cs="宋体" w:asciiTheme="majorEastAsia" w:hAnsiTheme="majorEastAsia" w:eastAsiaTheme="majorEastAsia"/>
          <w:sz w:val="24"/>
        </w:rPr>
        <w:t>供应商 （公章）：</w:t>
      </w:r>
    </w:p>
    <w:p>
      <w:pPr>
        <w:spacing w:line="480" w:lineRule="exact"/>
        <w:ind w:firstLine="120" w:firstLineChars="50"/>
        <w:rPr>
          <w:rFonts w:cs="宋体" w:asciiTheme="majorEastAsia" w:hAnsiTheme="majorEastAsia" w:eastAsiaTheme="majorEastAsia"/>
          <w:sz w:val="24"/>
        </w:rPr>
      </w:pPr>
      <w:r>
        <w:rPr>
          <w:rFonts w:hint="eastAsia" w:cs="宋体" w:asciiTheme="majorEastAsia" w:hAnsiTheme="majorEastAsia" w:eastAsiaTheme="majorEastAsia"/>
          <w:sz w:val="24"/>
        </w:rPr>
        <w:t>法定代表人或供应商全权代表：（签字或印章）</w:t>
      </w:r>
    </w:p>
    <w:p>
      <w:pPr>
        <w:spacing w:line="480" w:lineRule="exact"/>
        <w:ind w:firstLine="7080" w:firstLineChars="2950"/>
        <w:rPr>
          <w:rFonts w:cs="宋体" w:asciiTheme="majorEastAsia" w:hAnsiTheme="majorEastAsia" w:eastAsiaTheme="majorEastAsia"/>
          <w:sz w:val="24"/>
        </w:rPr>
      </w:pPr>
      <w:r>
        <w:rPr>
          <w:rFonts w:hint="eastAsia" w:cs="宋体" w:asciiTheme="majorEastAsia" w:hAnsiTheme="majorEastAsia" w:eastAsiaTheme="majorEastAsia"/>
          <w:sz w:val="24"/>
        </w:rPr>
        <w:t xml:space="preserve">  </w:t>
      </w:r>
    </w:p>
    <w:p>
      <w:pPr>
        <w:spacing w:line="480" w:lineRule="exact"/>
        <w:ind w:firstLine="7080" w:firstLineChars="2950"/>
        <w:rPr>
          <w:rFonts w:cs="宋体" w:asciiTheme="majorEastAsia" w:hAnsiTheme="majorEastAsia" w:eastAsiaTheme="majorEastAsia"/>
          <w:sz w:val="24"/>
        </w:rPr>
      </w:pPr>
    </w:p>
    <w:p>
      <w:pPr>
        <w:spacing w:line="480" w:lineRule="exact"/>
        <w:ind w:firstLine="7200" w:firstLineChars="3000"/>
        <w:rPr>
          <w:rFonts w:cs="宋体" w:asciiTheme="majorEastAsia" w:hAnsiTheme="majorEastAsia" w:eastAsiaTheme="majorEastAsia"/>
          <w:sz w:val="24"/>
        </w:rPr>
      </w:pPr>
      <w:r>
        <w:rPr>
          <w:rFonts w:hint="eastAsia" w:cs="宋体" w:asciiTheme="majorEastAsia" w:hAnsiTheme="majorEastAsia" w:eastAsiaTheme="majorEastAsia"/>
          <w:sz w:val="24"/>
        </w:rPr>
        <w:t xml:space="preserve"> 年   月   日</w:t>
      </w:r>
    </w:p>
    <w:p>
      <w:pPr>
        <w:spacing w:line="480" w:lineRule="exact"/>
        <w:rPr>
          <w:rFonts w:cs="宋体" w:asciiTheme="majorEastAsia" w:hAnsiTheme="majorEastAsia" w:eastAsiaTheme="majorEastAsia"/>
          <w:sz w:val="24"/>
        </w:rPr>
      </w:pPr>
      <w:r>
        <w:rPr>
          <w:rFonts w:hint="eastAsia" w:cs="宋体" w:asciiTheme="majorEastAsia" w:hAnsiTheme="majorEastAsia" w:eastAsiaTheme="majorEastAsia"/>
          <w:sz w:val="24"/>
        </w:rPr>
        <w:t>附件八：</w:t>
      </w:r>
    </w:p>
    <w:p>
      <w:pPr>
        <w:tabs>
          <w:tab w:val="left" w:pos="900"/>
        </w:tabs>
        <w:spacing w:line="480" w:lineRule="exact"/>
        <w:rPr>
          <w:rFonts w:cs="宋体" w:asciiTheme="majorEastAsia" w:hAnsiTheme="majorEastAsia" w:eastAsiaTheme="majorEastAsia"/>
          <w:b/>
          <w:sz w:val="32"/>
          <w:szCs w:val="32"/>
        </w:rPr>
      </w:pPr>
      <w:r>
        <w:rPr>
          <w:rFonts w:hint="eastAsia" w:cs="宋体" w:asciiTheme="majorEastAsia" w:hAnsiTheme="majorEastAsia" w:eastAsiaTheme="majorEastAsia"/>
          <w:sz w:val="24"/>
        </w:rPr>
        <w:t xml:space="preserve">             </w:t>
      </w:r>
      <w:r>
        <w:rPr>
          <w:rFonts w:hint="eastAsia" w:cs="宋体" w:asciiTheme="majorEastAsia" w:hAnsiTheme="majorEastAsia" w:eastAsiaTheme="majorEastAsia"/>
          <w:b/>
          <w:sz w:val="32"/>
          <w:szCs w:val="32"/>
        </w:rPr>
        <w:t xml:space="preserve"> 供应商本项目管理、技术、服务人员情况表</w:t>
      </w:r>
    </w:p>
    <w:p>
      <w:pPr>
        <w:tabs>
          <w:tab w:val="left" w:pos="900"/>
        </w:tabs>
        <w:spacing w:line="480" w:lineRule="exact"/>
        <w:rPr>
          <w:rFonts w:cs="宋体" w:asciiTheme="majorEastAsia" w:hAnsiTheme="majorEastAsia" w:eastAsiaTheme="majorEastAsia"/>
          <w:b/>
          <w:sz w:val="30"/>
          <w:szCs w:val="30"/>
        </w:rPr>
      </w:pPr>
    </w:p>
    <w:tbl>
      <w:tblPr>
        <w:tblStyle w:val="56"/>
        <w:tblW w:w="90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81"/>
        <w:gridCol w:w="1114"/>
        <w:gridCol w:w="885"/>
        <w:gridCol w:w="1361"/>
        <w:gridCol w:w="1361"/>
        <w:gridCol w:w="756"/>
        <w:gridCol w:w="881"/>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1" w:type="dxa"/>
            <w:vMerge w:val="restart"/>
            <w:vAlign w:val="center"/>
          </w:tcPr>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类别</w:t>
            </w:r>
          </w:p>
        </w:tc>
        <w:tc>
          <w:tcPr>
            <w:tcW w:w="881" w:type="dxa"/>
            <w:vMerge w:val="restart"/>
            <w:vAlign w:val="center"/>
          </w:tcPr>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职务</w:t>
            </w:r>
          </w:p>
        </w:tc>
        <w:tc>
          <w:tcPr>
            <w:tcW w:w="1114" w:type="dxa"/>
            <w:vMerge w:val="restart"/>
            <w:vAlign w:val="center"/>
          </w:tcPr>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姓名</w:t>
            </w:r>
          </w:p>
        </w:tc>
        <w:tc>
          <w:tcPr>
            <w:tcW w:w="885" w:type="dxa"/>
            <w:vMerge w:val="restart"/>
            <w:vAlign w:val="center"/>
          </w:tcPr>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职称</w:t>
            </w:r>
          </w:p>
        </w:tc>
        <w:tc>
          <w:tcPr>
            <w:tcW w:w="1361" w:type="dxa"/>
            <w:vMerge w:val="restart"/>
            <w:vAlign w:val="center"/>
          </w:tcPr>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常住地址</w:t>
            </w:r>
          </w:p>
        </w:tc>
        <w:tc>
          <w:tcPr>
            <w:tcW w:w="3879" w:type="dxa"/>
            <w:gridSpan w:val="4"/>
            <w:vAlign w:val="center"/>
          </w:tcPr>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81" w:type="dxa"/>
            <w:vMerge w:val="continue"/>
            <w:vAlign w:val="center"/>
          </w:tcPr>
          <w:p>
            <w:pPr>
              <w:spacing w:line="480" w:lineRule="exact"/>
              <w:ind w:left="5"/>
              <w:jc w:val="center"/>
              <w:rPr>
                <w:rFonts w:cs="宋体" w:asciiTheme="majorEastAsia" w:hAnsiTheme="majorEastAsia" w:eastAsiaTheme="majorEastAsia"/>
                <w:sz w:val="24"/>
                <w:szCs w:val="28"/>
              </w:rPr>
            </w:pPr>
          </w:p>
        </w:tc>
        <w:tc>
          <w:tcPr>
            <w:tcW w:w="881" w:type="dxa"/>
            <w:vMerge w:val="continue"/>
            <w:vAlign w:val="center"/>
          </w:tcPr>
          <w:p>
            <w:pPr>
              <w:spacing w:line="480" w:lineRule="exact"/>
              <w:ind w:left="5"/>
              <w:jc w:val="center"/>
              <w:rPr>
                <w:rFonts w:cs="宋体" w:asciiTheme="majorEastAsia" w:hAnsiTheme="majorEastAsia" w:eastAsiaTheme="majorEastAsia"/>
                <w:sz w:val="24"/>
                <w:szCs w:val="28"/>
              </w:rPr>
            </w:pPr>
          </w:p>
        </w:tc>
        <w:tc>
          <w:tcPr>
            <w:tcW w:w="1114" w:type="dxa"/>
            <w:vMerge w:val="continue"/>
            <w:vAlign w:val="center"/>
          </w:tcPr>
          <w:p>
            <w:pPr>
              <w:spacing w:line="480" w:lineRule="exact"/>
              <w:ind w:left="5"/>
              <w:jc w:val="center"/>
              <w:rPr>
                <w:rFonts w:cs="宋体" w:asciiTheme="majorEastAsia" w:hAnsiTheme="majorEastAsia" w:eastAsiaTheme="majorEastAsia"/>
                <w:sz w:val="24"/>
                <w:szCs w:val="28"/>
              </w:rPr>
            </w:pPr>
          </w:p>
        </w:tc>
        <w:tc>
          <w:tcPr>
            <w:tcW w:w="885" w:type="dxa"/>
            <w:vMerge w:val="continue"/>
            <w:vAlign w:val="center"/>
          </w:tcPr>
          <w:p>
            <w:pPr>
              <w:spacing w:line="480" w:lineRule="exact"/>
              <w:ind w:left="5"/>
              <w:jc w:val="center"/>
              <w:rPr>
                <w:rFonts w:cs="宋体" w:asciiTheme="majorEastAsia" w:hAnsiTheme="majorEastAsia" w:eastAsiaTheme="majorEastAsia"/>
                <w:sz w:val="24"/>
                <w:szCs w:val="28"/>
              </w:rPr>
            </w:pPr>
          </w:p>
        </w:tc>
        <w:tc>
          <w:tcPr>
            <w:tcW w:w="1361" w:type="dxa"/>
            <w:vMerge w:val="continue"/>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证书名称</w:t>
            </w:r>
          </w:p>
        </w:tc>
        <w:tc>
          <w:tcPr>
            <w:tcW w:w="756" w:type="dxa"/>
            <w:vAlign w:val="center"/>
          </w:tcPr>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级别</w:t>
            </w:r>
          </w:p>
        </w:tc>
        <w:tc>
          <w:tcPr>
            <w:tcW w:w="881" w:type="dxa"/>
            <w:vAlign w:val="center"/>
          </w:tcPr>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证号</w:t>
            </w:r>
          </w:p>
        </w:tc>
        <w:tc>
          <w:tcPr>
            <w:tcW w:w="881" w:type="dxa"/>
            <w:vAlign w:val="center"/>
          </w:tcPr>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1" w:type="dxa"/>
            <w:vMerge w:val="restart"/>
            <w:vAlign w:val="center"/>
          </w:tcPr>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管理</w:t>
            </w:r>
          </w:p>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人员</w:t>
            </w: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1114" w:type="dxa"/>
            <w:vAlign w:val="center"/>
          </w:tcPr>
          <w:p>
            <w:pPr>
              <w:spacing w:line="480" w:lineRule="exact"/>
              <w:ind w:left="5"/>
              <w:jc w:val="center"/>
              <w:rPr>
                <w:rFonts w:cs="宋体" w:asciiTheme="majorEastAsia" w:hAnsiTheme="majorEastAsia" w:eastAsiaTheme="majorEastAsia"/>
                <w:sz w:val="24"/>
                <w:szCs w:val="28"/>
              </w:rPr>
            </w:pPr>
          </w:p>
        </w:tc>
        <w:tc>
          <w:tcPr>
            <w:tcW w:w="885"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756"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1" w:type="dxa"/>
            <w:vMerge w:val="continue"/>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1114" w:type="dxa"/>
            <w:vAlign w:val="center"/>
          </w:tcPr>
          <w:p>
            <w:pPr>
              <w:spacing w:line="480" w:lineRule="exact"/>
              <w:ind w:left="5"/>
              <w:jc w:val="center"/>
              <w:rPr>
                <w:rFonts w:cs="宋体" w:asciiTheme="majorEastAsia" w:hAnsiTheme="majorEastAsia" w:eastAsiaTheme="majorEastAsia"/>
                <w:sz w:val="24"/>
                <w:szCs w:val="28"/>
              </w:rPr>
            </w:pPr>
          </w:p>
        </w:tc>
        <w:tc>
          <w:tcPr>
            <w:tcW w:w="885"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756"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81" w:type="dxa"/>
            <w:vMerge w:val="continue"/>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1114" w:type="dxa"/>
            <w:vAlign w:val="center"/>
          </w:tcPr>
          <w:p>
            <w:pPr>
              <w:spacing w:line="480" w:lineRule="exact"/>
              <w:ind w:left="5"/>
              <w:jc w:val="center"/>
              <w:rPr>
                <w:rFonts w:cs="宋体" w:asciiTheme="majorEastAsia" w:hAnsiTheme="majorEastAsia" w:eastAsiaTheme="majorEastAsia"/>
                <w:sz w:val="24"/>
                <w:szCs w:val="28"/>
              </w:rPr>
            </w:pPr>
          </w:p>
        </w:tc>
        <w:tc>
          <w:tcPr>
            <w:tcW w:w="885"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756"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81" w:type="dxa"/>
            <w:vMerge w:val="restart"/>
            <w:vAlign w:val="center"/>
          </w:tcPr>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技术</w:t>
            </w:r>
          </w:p>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人员</w:t>
            </w: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1114" w:type="dxa"/>
            <w:vAlign w:val="center"/>
          </w:tcPr>
          <w:p>
            <w:pPr>
              <w:spacing w:line="480" w:lineRule="exact"/>
              <w:ind w:left="5"/>
              <w:jc w:val="center"/>
              <w:rPr>
                <w:rFonts w:cs="宋体" w:asciiTheme="majorEastAsia" w:hAnsiTheme="majorEastAsia" w:eastAsiaTheme="majorEastAsia"/>
                <w:sz w:val="24"/>
                <w:szCs w:val="28"/>
              </w:rPr>
            </w:pPr>
          </w:p>
        </w:tc>
        <w:tc>
          <w:tcPr>
            <w:tcW w:w="885"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756"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81" w:type="dxa"/>
            <w:vMerge w:val="continue"/>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1114" w:type="dxa"/>
            <w:vAlign w:val="center"/>
          </w:tcPr>
          <w:p>
            <w:pPr>
              <w:spacing w:line="480" w:lineRule="exact"/>
              <w:ind w:left="5"/>
              <w:jc w:val="center"/>
              <w:rPr>
                <w:rFonts w:cs="宋体" w:asciiTheme="majorEastAsia" w:hAnsiTheme="majorEastAsia" w:eastAsiaTheme="majorEastAsia"/>
                <w:sz w:val="24"/>
                <w:szCs w:val="28"/>
              </w:rPr>
            </w:pPr>
          </w:p>
        </w:tc>
        <w:tc>
          <w:tcPr>
            <w:tcW w:w="885"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756"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81" w:type="dxa"/>
            <w:vMerge w:val="continue"/>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1114" w:type="dxa"/>
            <w:vAlign w:val="center"/>
          </w:tcPr>
          <w:p>
            <w:pPr>
              <w:spacing w:line="480" w:lineRule="exact"/>
              <w:ind w:left="5"/>
              <w:jc w:val="center"/>
              <w:rPr>
                <w:rFonts w:cs="宋体" w:asciiTheme="majorEastAsia" w:hAnsiTheme="majorEastAsia" w:eastAsiaTheme="majorEastAsia"/>
                <w:sz w:val="24"/>
                <w:szCs w:val="28"/>
              </w:rPr>
            </w:pPr>
          </w:p>
        </w:tc>
        <w:tc>
          <w:tcPr>
            <w:tcW w:w="885"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756"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1" w:type="dxa"/>
            <w:vMerge w:val="restart"/>
            <w:vAlign w:val="center"/>
          </w:tcPr>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服务</w:t>
            </w:r>
          </w:p>
          <w:p>
            <w:pPr>
              <w:spacing w:line="480" w:lineRule="exact"/>
              <w:ind w:left="5"/>
              <w:jc w:val="center"/>
              <w:rPr>
                <w:rFonts w:cs="宋体" w:asciiTheme="majorEastAsia" w:hAnsiTheme="majorEastAsia" w:eastAsiaTheme="majorEastAsia"/>
                <w:sz w:val="24"/>
                <w:szCs w:val="28"/>
              </w:rPr>
            </w:pPr>
            <w:r>
              <w:rPr>
                <w:rFonts w:hint="eastAsia" w:cs="宋体" w:asciiTheme="majorEastAsia" w:hAnsiTheme="majorEastAsia" w:eastAsiaTheme="majorEastAsia"/>
                <w:sz w:val="24"/>
                <w:szCs w:val="28"/>
              </w:rPr>
              <w:t>人员</w:t>
            </w: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1114" w:type="dxa"/>
            <w:vAlign w:val="center"/>
          </w:tcPr>
          <w:p>
            <w:pPr>
              <w:spacing w:line="480" w:lineRule="exact"/>
              <w:ind w:left="5"/>
              <w:jc w:val="center"/>
              <w:rPr>
                <w:rFonts w:cs="宋体" w:asciiTheme="majorEastAsia" w:hAnsiTheme="majorEastAsia" w:eastAsiaTheme="majorEastAsia"/>
                <w:sz w:val="24"/>
                <w:szCs w:val="28"/>
              </w:rPr>
            </w:pPr>
          </w:p>
        </w:tc>
        <w:tc>
          <w:tcPr>
            <w:tcW w:w="885"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756"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1" w:type="dxa"/>
            <w:vMerge w:val="continue"/>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1114" w:type="dxa"/>
            <w:vAlign w:val="center"/>
          </w:tcPr>
          <w:p>
            <w:pPr>
              <w:spacing w:line="480" w:lineRule="exact"/>
              <w:ind w:left="5"/>
              <w:jc w:val="center"/>
              <w:rPr>
                <w:rFonts w:cs="宋体" w:asciiTheme="majorEastAsia" w:hAnsiTheme="majorEastAsia" w:eastAsiaTheme="majorEastAsia"/>
                <w:sz w:val="24"/>
                <w:szCs w:val="28"/>
              </w:rPr>
            </w:pPr>
          </w:p>
        </w:tc>
        <w:tc>
          <w:tcPr>
            <w:tcW w:w="885"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756"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81" w:type="dxa"/>
            <w:vMerge w:val="continue"/>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1114" w:type="dxa"/>
            <w:vAlign w:val="center"/>
          </w:tcPr>
          <w:p>
            <w:pPr>
              <w:spacing w:line="480" w:lineRule="exact"/>
              <w:ind w:left="5"/>
              <w:jc w:val="center"/>
              <w:rPr>
                <w:rFonts w:cs="宋体" w:asciiTheme="majorEastAsia" w:hAnsiTheme="majorEastAsia" w:eastAsiaTheme="majorEastAsia"/>
                <w:sz w:val="24"/>
                <w:szCs w:val="28"/>
              </w:rPr>
            </w:pPr>
          </w:p>
        </w:tc>
        <w:tc>
          <w:tcPr>
            <w:tcW w:w="885"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1361" w:type="dxa"/>
            <w:vAlign w:val="center"/>
          </w:tcPr>
          <w:p>
            <w:pPr>
              <w:spacing w:line="480" w:lineRule="exact"/>
              <w:ind w:left="5"/>
              <w:jc w:val="center"/>
              <w:rPr>
                <w:rFonts w:cs="宋体" w:asciiTheme="majorEastAsia" w:hAnsiTheme="majorEastAsia" w:eastAsiaTheme="majorEastAsia"/>
                <w:sz w:val="24"/>
                <w:szCs w:val="28"/>
              </w:rPr>
            </w:pPr>
          </w:p>
        </w:tc>
        <w:tc>
          <w:tcPr>
            <w:tcW w:w="756"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c>
          <w:tcPr>
            <w:tcW w:w="881" w:type="dxa"/>
            <w:vAlign w:val="center"/>
          </w:tcPr>
          <w:p>
            <w:pPr>
              <w:spacing w:line="480" w:lineRule="exact"/>
              <w:ind w:left="5"/>
              <w:jc w:val="center"/>
              <w:rPr>
                <w:rFonts w:cs="宋体" w:asciiTheme="majorEastAsia" w:hAnsiTheme="majorEastAsia" w:eastAsiaTheme="majorEastAsia"/>
                <w:sz w:val="24"/>
                <w:szCs w:val="28"/>
              </w:rPr>
            </w:pPr>
          </w:p>
        </w:tc>
      </w:tr>
    </w:tbl>
    <w:p>
      <w:pPr>
        <w:spacing w:line="480" w:lineRule="exact"/>
        <w:ind w:left="5"/>
        <w:rPr>
          <w:rFonts w:cs="宋体" w:asciiTheme="majorEastAsia" w:hAnsiTheme="majorEastAsia" w:eastAsiaTheme="majorEastAsia"/>
          <w:sz w:val="24"/>
        </w:rPr>
      </w:pPr>
    </w:p>
    <w:p>
      <w:pPr>
        <w:spacing w:line="480" w:lineRule="exact"/>
        <w:rPr>
          <w:rFonts w:cs="宋体" w:asciiTheme="majorEastAsia" w:hAnsiTheme="majorEastAsia" w:eastAsiaTheme="majorEastAsia"/>
          <w:sz w:val="24"/>
        </w:rPr>
      </w:pPr>
    </w:p>
    <w:p>
      <w:pPr>
        <w:spacing w:line="480" w:lineRule="exact"/>
        <w:rPr>
          <w:rFonts w:cs="宋体" w:asciiTheme="majorEastAsia" w:hAnsiTheme="majorEastAsia" w:eastAsiaTheme="majorEastAsia"/>
          <w:sz w:val="24"/>
        </w:rPr>
      </w:pPr>
      <w:r>
        <w:rPr>
          <w:rFonts w:hint="eastAsia" w:cs="宋体" w:asciiTheme="majorEastAsia" w:hAnsiTheme="majorEastAsia" w:eastAsiaTheme="majorEastAsia"/>
          <w:sz w:val="24"/>
        </w:rPr>
        <w:t>供应商  （公章）：</w:t>
      </w:r>
    </w:p>
    <w:p>
      <w:pPr>
        <w:tabs>
          <w:tab w:val="left" w:pos="180"/>
          <w:tab w:val="left" w:pos="1800"/>
        </w:tabs>
        <w:spacing w:line="480" w:lineRule="exact"/>
        <w:rPr>
          <w:rFonts w:cs="宋体" w:asciiTheme="majorEastAsia" w:hAnsiTheme="majorEastAsia" w:eastAsiaTheme="majorEastAsia"/>
          <w:sz w:val="24"/>
        </w:rPr>
      </w:pPr>
      <w:r>
        <w:rPr>
          <w:rFonts w:hint="eastAsia" w:cs="宋体" w:asciiTheme="majorEastAsia" w:hAnsiTheme="majorEastAsia" w:eastAsiaTheme="majorEastAsia"/>
          <w:sz w:val="24"/>
        </w:rPr>
        <w:t>法定代表人或供应商全权代表：（签字或印章）</w:t>
      </w:r>
    </w:p>
    <w:p>
      <w:pPr>
        <w:spacing w:line="480" w:lineRule="exact"/>
        <w:rPr>
          <w:rFonts w:cs="宋体" w:asciiTheme="majorEastAsia" w:hAnsiTheme="majorEastAsia" w:eastAsiaTheme="majorEastAsia"/>
          <w:sz w:val="24"/>
        </w:rPr>
      </w:pPr>
    </w:p>
    <w:p>
      <w:pPr>
        <w:pStyle w:val="65"/>
      </w:pPr>
    </w:p>
    <w:p>
      <w:pPr>
        <w:spacing w:line="480" w:lineRule="exact"/>
        <w:ind w:firstLine="6720" w:firstLineChars="2800"/>
        <w:rPr>
          <w:rFonts w:cs="宋体" w:asciiTheme="majorEastAsia" w:hAnsiTheme="majorEastAsia" w:eastAsiaTheme="majorEastAsia"/>
          <w:sz w:val="24"/>
        </w:rPr>
      </w:pPr>
      <w:r>
        <w:rPr>
          <w:rFonts w:hint="eastAsia" w:cs="宋体" w:asciiTheme="majorEastAsia" w:hAnsiTheme="majorEastAsia" w:eastAsiaTheme="majorEastAsia"/>
          <w:sz w:val="24"/>
        </w:rPr>
        <w:t xml:space="preserve">   年   月   日</w:t>
      </w:r>
    </w:p>
    <w:p>
      <w:pPr>
        <w:spacing w:line="480" w:lineRule="exact"/>
        <w:ind w:left="5"/>
        <w:rPr>
          <w:rFonts w:cs="宋体" w:asciiTheme="majorEastAsia" w:hAnsiTheme="majorEastAsia" w:eastAsiaTheme="majorEastAsia"/>
          <w:sz w:val="24"/>
        </w:rPr>
      </w:pPr>
    </w:p>
    <w:p>
      <w:pPr>
        <w:spacing w:line="480" w:lineRule="exact"/>
        <w:rPr>
          <w:rFonts w:cs="宋体" w:asciiTheme="majorEastAsia" w:hAnsiTheme="majorEastAsia" w:eastAsiaTheme="majorEastAsia"/>
          <w:sz w:val="24"/>
        </w:rPr>
      </w:pPr>
    </w:p>
    <w:p>
      <w:pPr>
        <w:spacing w:line="480" w:lineRule="exact"/>
        <w:rPr>
          <w:rFonts w:cs="宋体" w:asciiTheme="majorEastAsia" w:hAnsiTheme="majorEastAsia" w:eastAsiaTheme="majorEastAsia"/>
          <w:sz w:val="24"/>
        </w:rPr>
      </w:pPr>
    </w:p>
    <w:p>
      <w:pPr>
        <w:spacing w:line="500" w:lineRule="exact"/>
        <w:rPr>
          <w:rFonts w:cs="宋体" w:asciiTheme="majorEastAsia" w:hAnsiTheme="majorEastAsia" w:eastAsiaTheme="majorEastAsia"/>
          <w:kern w:val="1"/>
          <w:sz w:val="24"/>
          <w:szCs w:val="24"/>
        </w:rPr>
      </w:pPr>
    </w:p>
    <w:p>
      <w:pPr>
        <w:spacing w:line="500" w:lineRule="exact"/>
        <w:rPr>
          <w:rFonts w:cs="宋体" w:asciiTheme="majorEastAsia" w:hAnsiTheme="majorEastAsia" w:eastAsiaTheme="majorEastAsia"/>
          <w:kern w:val="1"/>
          <w:sz w:val="24"/>
          <w:szCs w:val="24"/>
        </w:rPr>
      </w:pPr>
    </w:p>
    <w:p>
      <w:pPr>
        <w:spacing w:line="500" w:lineRule="exact"/>
        <w:rPr>
          <w:rFonts w:cs="宋体" w:asciiTheme="majorEastAsia" w:hAnsiTheme="majorEastAsia" w:eastAsiaTheme="majorEastAsia"/>
          <w:kern w:val="1"/>
          <w:sz w:val="24"/>
          <w:szCs w:val="24"/>
        </w:rPr>
      </w:pPr>
      <w:r>
        <w:rPr>
          <w:rFonts w:hint="eastAsia" w:cs="宋体" w:asciiTheme="majorEastAsia" w:hAnsiTheme="majorEastAsia" w:eastAsiaTheme="majorEastAsia"/>
          <w:kern w:val="1"/>
          <w:sz w:val="24"/>
          <w:szCs w:val="24"/>
        </w:rPr>
        <w:t>附件九：</w:t>
      </w:r>
    </w:p>
    <w:p>
      <w:pPr>
        <w:spacing w:before="100" w:beforeAutospacing="1" w:after="100" w:afterAutospacing="1" w:line="5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同类项目业绩一览表</w:t>
      </w:r>
    </w:p>
    <w:tbl>
      <w:tblPr>
        <w:tblStyle w:val="56"/>
        <w:tblW w:w="91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2091"/>
        <w:gridCol w:w="1252"/>
        <w:gridCol w:w="1252"/>
        <w:gridCol w:w="1681"/>
        <w:gridCol w:w="969"/>
        <w:gridCol w:w="12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bCs/>
                <w:sz w:val="24"/>
                <w:szCs w:val="24"/>
              </w:rPr>
            </w:pPr>
            <w:r>
              <w:rPr>
                <w:rFonts w:hint="eastAsia" w:cs="Arial" w:asciiTheme="majorEastAsia" w:hAnsiTheme="majorEastAsia" w:eastAsiaTheme="majorEastAsia"/>
                <w:bCs/>
                <w:sz w:val="24"/>
                <w:szCs w:val="24"/>
              </w:rPr>
              <w:t>序号</w:t>
            </w: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bCs/>
                <w:sz w:val="24"/>
                <w:szCs w:val="24"/>
              </w:rPr>
            </w:pPr>
            <w:r>
              <w:rPr>
                <w:rFonts w:hint="eastAsia" w:cs="Arial" w:asciiTheme="majorEastAsia" w:hAnsiTheme="majorEastAsia" w:eastAsiaTheme="majorEastAsia"/>
                <w:bCs/>
                <w:sz w:val="24"/>
                <w:szCs w:val="24"/>
              </w:rPr>
              <w:t>采购单位名称</w:t>
            </w: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bCs/>
                <w:sz w:val="24"/>
                <w:szCs w:val="24"/>
              </w:rPr>
            </w:pPr>
            <w:r>
              <w:rPr>
                <w:rFonts w:hint="eastAsia" w:cs="Arial" w:asciiTheme="majorEastAsia" w:hAnsiTheme="majorEastAsia" w:eastAsiaTheme="majorEastAsia"/>
                <w:bCs/>
                <w:sz w:val="24"/>
                <w:szCs w:val="24"/>
              </w:rPr>
              <w:t>采购内容</w:t>
            </w: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bCs/>
                <w:sz w:val="24"/>
                <w:szCs w:val="24"/>
              </w:rPr>
            </w:pPr>
            <w:r>
              <w:rPr>
                <w:rFonts w:hint="eastAsia" w:cs="Arial" w:asciiTheme="majorEastAsia" w:hAnsiTheme="majorEastAsia" w:eastAsiaTheme="majorEastAsia"/>
                <w:bCs/>
                <w:sz w:val="24"/>
                <w:szCs w:val="24"/>
              </w:rPr>
              <w:t>合同总价</w:t>
            </w: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bCs/>
                <w:sz w:val="24"/>
                <w:szCs w:val="24"/>
              </w:rPr>
            </w:pPr>
            <w:r>
              <w:rPr>
                <w:rFonts w:hint="eastAsia" w:cs="Arial" w:asciiTheme="majorEastAsia" w:hAnsiTheme="majorEastAsia" w:eastAsiaTheme="majorEastAsia"/>
                <w:bCs/>
                <w:sz w:val="24"/>
                <w:szCs w:val="24"/>
              </w:rPr>
              <w:t>签订合同时间</w:t>
            </w: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bCs/>
                <w:sz w:val="24"/>
                <w:szCs w:val="24"/>
              </w:rPr>
            </w:pPr>
            <w:r>
              <w:rPr>
                <w:rFonts w:hint="eastAsia" w:cs="Arial" w:asciiTheme="majorEastAsia" w:hAnsiTheme="majorEastAsia" w:eastAsiaTheme="majorEastAsia"/>
                <w:bCs/>
                <w:sz w:val="24"/>
                <w:szCs w:val="24"/>
              </w:rPr>
              <w:t>联系人</w:t>
            </w: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bCs/>
                <w:sz w:val="24"/>
                <w:szCs w:val="24"/>
              </w:rPr>
            </w:pPr>
            <w:r>
              <w:rPr>
                <w:rFonts w:hint="eastAsia" w:cs="Arial" w:asciiTheme="majorEastAsia" w:hAnsiTheme="majorEastAsia" w:eastAsiaTheme="majorEastAsia"/>
                <w:bCs/>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cs="Arial" w:asciiTheme="majorEastAsia" w:hAnsiTheme="majorEastAsia" w:eastAsiaTheme="majorEastAsia"/>
                <w:szCs w:val="21"/>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cs="Arial" w:asciiTheme="majorEastAsia" w:hAnsiTheme="majorEastAsia" w:eastAsiaTheme="majorEastAsia"/>
                <w:szCs w:val="21"/>
              </w:rPr>
            </w:pPr>
          </w:p>
        </w:tc>
      </w:tr>
    </w:tbl>
    <w:p>
      <w:pPr>
        <w:spacing w:line="500" w:lineRule="exact"/>
        <w:rPr>
          <w:rFonts w:asciiTheme="majorEastAsia" w:hAnsiTheme="majorEastAsia" w:eastAsiaTheme="majorEastAsia"/>
          <w:sz w:val="24"/>
        </w:rPr>
      </w:pPr>
    </w:p>
    <w:p>
      <w:pPr>
        <w:spacing w:line="500" w:lineRule="exact"/>
        <w:rPr>
          <w:rFonts w:asciiTheme="majorEastAsia" w:hAnsiTheme="majorEastAsia" w:eastAsiaTheme="majorEastAsia"/>
          <w:sz w:val="24"/>
        </w:rPr>
      </w:pPr>
      <w:r>
        <w:rPr>
          <w:rFonts w:hint="eastAsia" w:asciiTheme="majorEastAsia" w:hAnsiTheme="majorEastAsia" w:eastAsiaTheme="majorEastAsia"/>
          <w:sz w:val="24"/>
        </w:rPr>
        <w:t>供应商 （公章）：</w:t>
      </w:r>
    </w:p>
    <w:p>
      <w:pPr>
        <w:spacing w:line="500" w:lineRule="exact"/>
        <w:rPr>
          <w:rFonts w:asciiTheme="majorEastAsia" w:hAnsiTheme="majorEastAsia" w:eastAsiaTheme="majorEastAsia"/>
          <w:sz w:val="24"/>
        </w:rPr>
      </w:pPr>
      <w:r>
        <w:rPr>
          <w:rFonts w:hint="eastAsia" w:asciiTheme="majorEastAsia" w:hAnsiTheme="majorEastAsia" w:eastAsiaTheme="majorEastAsia"/>
          <w:sz w:val="24"/>
        </w:rPr>
        <w:t>法定代表人或供应商全权代表：（签字或印章）</w:t>
      </w:r>
    </w:p>
    <w:p>
      <w:pPr>
        <w:spacing w:line="500" w:lineRule="exact"/>
        <w:rPr>
          <w:rFonts w:asciiTheme="majorEastAsia" w:hAnsiTheme="majorEastAsia" w:eastAsiaTheme="majorEastAsia"/>
          <w:sz w:val="24"/>
        </w:rPr>
      </w:pPr>
    </w:p>
    <w:p>
      <w:pPr>
        <w:spacing w:line="500" w:lineRule="exact"/>
        <w:rPr>
          <w:rFonts w:asciiTheme="majorEastAsia" w:hAnsiTheme="majorEastAsia" w:eastAsiaTheme="majorEastAsia"/>
          <w:sz w:val="24"/>
        </w:rPr>
      </w:pPr>
    </w:p>
    <w:p>
      <w:pPr>
        <w:spacing w:line="500" w:lineRule="exact"/>
        <w:rPr>
          <w:rFonts w:asciiTheme="majorEastAsia" w:hAnsiTheme="majorEastAsia" w:eastAsiaTheme="majorEastAsia"/>
          <w:sz w:val="24"/>
        </w:rPr>
      </w:pPr>
    </w:p>
    <w:p>
      <w:pPr>
        <w:spacing w:line="500" w:lineRule="exact"/>
        <w:rPr>
          <w:rFonts w:asciiTheme="majorEastAsia" w:hAnsiTheme="majorEastAsia" w:eastAsiaTheme="majorEastAsia"/>
          <w:b/>
          <w:sz w:val="32"/>
          <w:szCs w:val="32"/>
        </w:rPr>
      </w:pPr>
    </w:p>
    <w:p>
      <w:pPr>
        <w:spacing w:line="500" w:lineRule="exact"/>
        <w:rPr>
          <w:rFonts w:cs="宋体" w:asciiTheme="majorEastAsia" w:hAnsiTheme="majorEastAsia" w:eastAsiaTheme="majorEastAsia"/>
          <w:kern w:val="1"/>
          <w:sz w:val="24"/>
          <w:szCs w:val="24"/>
        </w:rPr>
      </w:pPr>
      <w:r>
        <w:rPr>
          <w:rFonts w:cs="宋体" w:asciiTheme="majorEastAsia" w:hAnsiTheme="majorEastAsia" w:eastAsiaTheme="majorEastAsia"/>
          <w:kern w:val="1"/>
          <w:sz w:val="24"/>
          <w:szCs w:val="24"/>
        </w:rPr>
        <w:t>附件</w:t>
      </w:r>
      <w:r>
        <w:rPr>
          <w:rFonts w:hint="eastAsia" w:cs="宋体" w:asciiTheme="majorEastAsia" w:hAnsiTheme="majorEastAsia" w:eastAsiaTheme="majorEastAsia"/>
          <w:kern w:val="1"/>
          <w:sz w:val="24"/>
          <w:szCs w:val="24"/>
        </w:rPr>
        <w:t>十：</w:t>
      </w:r>
    </w:p>
    <w:p>
      <w:pPr>
        <w:widowControl/>
        <w:spacing w:before="100" w:beforeAutospacing="1" w:after="100" w:afterAutospacing="1"/>
        <w:jc w:val="center"/>
        <w:rPr>
          <w:rFonts w:cs="宋体" w:asciiTheme="majorEastAsia" w:hAnsiTheme="majorEastAsia" w:eastAsiaTheme="majorEastAsia"/>
          <w:b/>
          <w:kern w:val="0"/>
          <w:sz w:val="27"/>
          <w:szCs w:val="27"/>
        </w:rPr>
      </w:pPr>
      <w:r>
        <w:rPr>
          <w:rFonts w:cs="宋体" w:asciiTheme="majorEastAsia" w:hAnsiTheme="majorEastAsia" w:eastAsiaTheme="majorEastAsia"/>
          <w:b/>
          <w:kern w:val="0"/>
          <w:sz w:val="27"/>
          <w:szCs w:val="27"/>
        </w:rPr>
        <w:t>声</w:t>
      </w:r>
      <w:r>
        <w:rPr>
          <w:rFonts w:hint="eastAsia" w:cs="宋体" w:asciiTheme="majorEastAsia" w:hAnsiTheme="majorEastAsia" w:eastAsiaTheme="majorEastAsia"/>
          <w:b/>
          <w:kern w:val="0"/>
          <w:sz w:val="27"/>
          <w:szCs w:val="27"/>
        </w:rPr>
        <w:t xml:space="preserve">   </w:t>
      </w:r>
      <w:r>
        <w:rPr>
          <w:rFonts w:cs="宋体" w:asciiTheme="majorEastAsia" w:hAnsiTheme="majorEastAsia" w:eastAsiaTheme="majorEastAsia"/>
          <w:b/>
          <w:kern w:val="0"/>
          <w:sz w:val="27"/>
          <w:szCs w:val="27"/>
        </w:rPr>
        <w:t>明</w:t>
      </w:r>
    </w:p>
    <w:p>
      <w:pPr>
        <w:widowControl/>
        <w:spacing w:before="100" w:beforeAutospacing="1" w:after="100" w:afterAutospacing="1"/>
        <w:jc w:val="left"/>
        <w:rPr>
          <w:rFonts w:asciiTheme="majorEastAsia" w:hAnsiTheme="majorEastAsia" w:eastAsiaTheme="majorEastAsia"/>
          <w:sz w:val="24"/>
          <w:szCs w:val="24"/>
        </w:rPr>
      </w:pPr>
      <w:r>
        <w:rPr>
          <w:rFonts w:asciiTheme="majorEastAsia" w:hAnsiTheme="majorEastAsia" w:eastAsiaTheme="majorEastAsia"/>
          <w:sz w:val="24"/>
          <w:szCs w:val="24"/>
        </w:rPr>
        <w:t>致临沂鼎泰招标有限公司：</w:t>
      </w:r>
    </w:p>
    <w:p>
      <w:pPr>
        <w:widowControl/>
        <w:spacing w:before="100" w:beforeAutospacing="1" w:after="100" w:afterAutospacing="1" w:line="460" w:lineRule="atLeas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我方在参加政府采购活动前</w:t>
      </w:r>
      <w:r>
        <w:rPr>
          <w:rFonts w:hint="eastAsia" w:asciiTheme="majorEastAsia" w:hAnsiTheme="majorEastAsia" w:eastAsiaTheme="majorEastAsia"/>
          <w:sz w:val="24"/>
          <w:szCs w:val="24"/>
        </w:rPr>
        <w:t>三</w:t>
      </w:r>
      <w:r>
        <w:rPr>
          <w:rFonts w:asciiTheme="majorEastAsia" w:hAnsiTheme="majorEastAsia" w:eastAsiaTheme="majorEastAsia"/>
          <w:sz w:val="24"/>
          <w:szCs w:val="24"/>
        </w:rPr>
        <w:t>年内，在经营活动中没有重大违法记录。在以往前三年政府采购活动中没有违纪、违规、违约等不良行为。</w:t>
      </w:r>
    </w:p>
    <w:p>
      <w:pPr>
        <w:widowControl/>
        <w:spacing w:before="100" w:beforeAutospacing="1" w:after="100" w:afterAutospacing="1" w:line="460" w:lineRule="atLeast"/>
        <w:rPr>
          <w:rFonts w:asciiTheme="majorEastAsia" w:hAnsiTheme="majorEastAsia" w:eastAsiaTheme="majorEastAsia"/>
          <w:sz w:val="24"/>
          <w:szCs w:val="24"/>
        </w:rPr>
      </w:pPr>
      <w:r>
        <w:rPr>
          <w:rFonts w:asciiTheme="majorEastAsia" w:hAnsiTheme="majorEastAsia" w:eastAsiaTheme="majorEastAsia"/>
          <w:sz w:val="24"/>
          <w:szCs w:val="24"/>
        </w:rPr>
        <w:t>特此声明。</w:t>
      </w:r>
    </w:p>
    <w:p>
      <w:pPr>
        <w:widowControl/>
        <w:spacing w:before="100" w:beforeAutospacing="1" w:after="100" w:afterAutospacing="1" w:line="460" w:lineRule="atLeast"/>
        <w:rPr>
          <w:rFonts w:asciiTheme="majorEastAsia" w:hAnsiTheme="majorEastAsia" w:eastAsiaTheme="majorEastAsia"/>
          <w:sz w:val="24"/>
          <w:szCs w:val="24"/>
        </w:rPr>
      </w:pPr>
      <w:r>
        <w:rPr>
          <w:rFonts w:asciiTheme="majorEastAsia" w:hAnsiTheme="majorEastAsia" w:eastAsiaTheme="majorEastAsia"/>
          <w:sz w:val="24"/>
          <w:szCs w:val="24"/>
        </w:rPr>
        <w:t>如果以上声明不真实，我方全部承担虚假响应（报价）的责任，并接受依法施行的处罚。</w:t>
      </w:r>
    </w:p>
    <w:p>
      <w:pPr>
        <w:spacing w:line="460" w:lineRule="atLeast"/>
        <w:rPr>
          <w:rFonts w:asciiTheme="majorEastAsia" w:hAnsiTheme="majorEastAsia" w:eastAsiaTheme="majorEastAsia"/>
          <w:sz w:val="24"/>
        </w:rPr>
      </w:pPr>
      <w:r>
        <w:rPr>
          <w:rFonts w:hint="eastAsia" w:asciiTheme="majorEastAsia" w:hAnsiTheme="majorEastAsia" w:eastAsiaTheme="majorEastAsia"/>
          <w:sz w:val="24"/>
        </w:rPr>
        <w:t>供应商 （公章）：</w:t>
      </w:r>
    </w:p>
    <w:p>
      <w:pPr>
        <w:spacing w:line="460" w:lineRule="atLeast"/>
        <w:rPr>
          <w:rFonts w:asciiTheme="majorEastAsia" w:hAnsiTheme="majorEastAsia" w:eastAsiaTheme="majorEastAsia"/>
          <w:sz w:val="24"/>
        </w:rPr>
      </w:pPr>
      <w:r>
        <w:rPr>
          <w:rFonts w:hint="eastAsia" w:asciiTheme="majorEastAsia" w:hAnsiTheme="majorEastAsia" w:eastAsiaTheme="majorEastAsia"/>
          <w:sz w:val="24"/>
        </w:rPr>
        <w:t>法定代表人或供应商全权代表：（签字或印章）</w:t>
      </w:r>
    </w:p>
    <w:p>
      <w:pPr>
        <w:widowControl/>
        <w:spacing w:before="100" w:beforeAutospacing="1" w:after="100" w:afterAutospacing="1"/>
        <w:jc w:val="right"/>
        <w:rPr>
          <w:rFonts w:asciiTheme="majorEastAsia" w:hAnsiTheme="majorEastAsia" w:eastAsiaTheme="majorEastAsia"/>
          <w:sz w:val="24"/>
          <w:szCs w:val="24"/>
        </w:rPr>
      </w:pPr>
      <w:r>
        <w:rPr>
          <w:rFonts w:asciiTheme="majorEastAsia" w:hAnsiTheme="majorEastAsia" w:eastAsiaTheme="majorEastAsia"/>
          <w:sz w:val="24"/>
          <w:szCs w:val="24"/>
        </w:rPr>
        <w:t xml:space="preserve">年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月</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 xml:space="preserve"> 日</w:t>
      </w:r>
    </w:p>
    <w:p>
      <w:pPr>
        <w:widowControl/>
        <w:spacing w:before="100" w:beforeAutospacing="1" w:after="100" w:afterAutospacing="1"/>
        <w:jc w:val="left"/>
        <w:rPr>
          <w:rFonts w:cs="宋体" w:asciiTheme="majorEastAsia" w:hAnsiTheme="majorEastAsia" w:eastAsiaTheme="majorEastAsia"/>
          <w:kern w:val="0"/>
          <w:sz w:val="27"/>
          <w:szCs w:val="27"/>
        </w:rPr>
      </w:pPr>
    </w:p>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注：重大违法记录，是指供应商因违法经营受到刑事处罚或者责令停产停业、吊销许可证或者执照、较大数额罚款等行政处罚。</w:t>
      </w:r>
    </w:p>
    <w:p>
      <w:pPr>
        <w:widowControl/>
        <w:spacing w:before="100" w:beforeAutospacing="1" w:after="100" w:afterAutospacing="1"/>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供应商在参加政府采购活动前3年内因违法经营被禁止在一定期限内参加政府采购活动，期限届满的，可以参加政府采购活动。</w:t>
      </w:r>
    </w:p>
    <w:p>
      <w:pPr>
        <w:spacing w:line="460" w:lineRule="exact"/>
        <w:jc w:val="center"/>
        <w:rPr>
          <w:rFonts w:asciiTheme="majorEastAsia" w:hAnsiTheme="majorEastAsia" w:eastAsiaTheme="majorEastAsia"/>
          <w:sz w:val="24"/>
          <w:szCs w:val="24"/>
        </w:rPr>
      </w:pPr>
    </w:p>
    <w:p>
      <w:pPr>
        <w:spacing w:line="480" w:lineRule="exact"/>
        <w:rPr>
          <w:rFonts w:asciiTheme="majorEastAsia" w:hAnsiTheme="majorEastAsia" w:eastAsiaTheme="majorEastAsia"/>
          <w:sz w:val="24"/>
        </w:rPr>
      </w:pPr>
    </w:p>
    <w:p>
      <w:pPr>
        <w:spacing w:line="480" w:lineRule="exact"/>
        <w:rPr>
          <w:rFonts w:asciiTheme="majorEastAsia" w:hAnsiTheme="majorEastAsia" w:eastAsiaTheme="majorEastAsia"/>
          <w:sz w:val="24"/>
        </w:rPr>
      </w:pPr>
    </w:p>
    <w:p>
      <w:pPr>
        <w:spacing w:line="480" w:lineRule="exact"/>
        <w:rPr>
          <w:rFonts w:asciiTheme="majorEastAsia" w:hAnsiTheme="majorEastAsia" w:eastAsiaTheme="majorEastAsia"/>
          <w:sz w:val="24"/>
          <w:szCs w:val="24"/>
        </w:rPr>
      </w:pPr>
    </w:p>
    <w:p>
      <w:pPr>
        <w:spacing w:line="480" w:lineRule="exact"/>
        <w:rPr>
          <w:rFonts w:cs="宋体" w:asciiTheme="majorEastAsia" w:hAnsiTheme="majorEastAsia" w:eastAsiaTheme="majorEastAsia"/>
          <w:kern w:val="1"/>
          <w:sz w:val="28"/>
          <w:szCs w:val="28"/>
        </w:rPr>
      </w:pPr>
    </w:p>
    <w:p>
      <w:pPr>
        <w:spacing w:line="480" w:lineRule="exact"/>
        <w:rPr>
          <w:rFonts w:cs="宋体" w:asciiTheme="majorEastAsia" w:hAnsiTheme="majorEastAsia" w:eastAsiaTheme="majorEastAsia"/>
          <w:kern w:val="1"/>
          <w:sz w:val="28"/>
          <w:szCs w:val="28"/>
        </w:rPr>
      </w:pPr>
    </w:p>
    <w:p>
      <w:pPr>
        <w:spacing w:line="480" w:lineRule="exact"/>
        <w:rPr>
          <w:rFonts w:cs="宋体" w:asciiTheme="majorEastAsia" w:hAnsiTheme="majorEastAsia" w:eastAsiaTheme="majorEastAsia"/>
          <w:kern w:val="1"/>
          <w:sz w:val="28"/>
          <w:szCs w:val="28"/>
        </w:rPr>
      </w:pPr>
    </w:p>
    <w:p>
      <w:pPr>
        <w:spacing w:line="480" w:lineRule="exact"/>
        <w:rPr>
          <w:rFonts w:cs="宋体" w:asciiTheme="majorEastAsia" w:hAnsiTheme="majorEastAsia" w:eastAsiaTheme="majorEastAsia"/>
          <w:kern w:val="1"/>
          <w:sz w:val="28"/>
          <w:szCs w:val="28"/>
        </w:rPr>
      </w:pPr>
    </w:p>
    <w:p>
      <w:pPr>
        <w:spacing w:line="480" w:lineRule="exact"/>
        <w:rPr>
          <w:rFonts w:cs="宋体" w:asciiTheme="majorEastAsia" w:hAnsiTheme="majorEastAsia" w:eastAsiaTheme="majorEastAsia"/>
          <w:kern w:val="1"/>
          <w:sz w:val="28"/>
          <w:szCs w:val="28"/>
        </w:rPr>
      </w:pPr>
    </w:p>
    <w:p>
      <w:pPr>
        <w:spacing w:line="480" w:lineRule="exact"/>
        <w:rPr>
          <w:rFonts w:cs="宋体" w:asciiTheme="majorEastAsia" w:hAnsiTheme="majorEastAsia" w:eastAsiaTheme="majorEastAsia"/>
          <w:kern w:val="1"/>
          <w:sz w:val="28"/>
          <w:szCs w:val="28"/>
        </w:rPr>
      </w:pPr>
    </w:p>
    <w:p>
      <w:pPr>
        <w:pStyle w:val="50"/>
        <w:rPr>
          <w:rFonts w:cs="宋体" w:asciiTheme="majorEastAsia" w:hAnsiTheme="majorEastAsia" w:eastAsiaTheme="majorEastAsia"/>
          <w:kern w:val="1"/>
          <w:szCs w:val="24"/>
        </w:rPr>
      </w:pPr>
      <w:r>
        <w:rPr>
          <w:rFonts w:cs="宋体" w:asciiTheme="majorEastAsia" w:hAnsiTheme="majorEastAsia" w:eastAsiaTheme="majorEastAsia"/>
          <w:kern w:val="1"/>
          <w:szCs w:val="24"/>
        </w:rPr>
        <w:t>附件十</w:t>
      </w:r>
      <w:r>
        <w:rPr>
          <w:rFonts w:hint="eastAsia" w:cs="宋体" w:asciiTheme="majorEastAsia" w:hAnsiTheme="majorEastAsia" w:eastAsiaTheme="majorEastAsia"/>
          <w:kern w:val="1"/>
          <w:szCs w:val="24"/>
        </w:rPr>
        <w:t>一</w:t>
      </w:r>
      <w:r>
        <w:rPr>
          <w:rFonts w:cs="宋体" w:asciiTheme="majorEastAsia" w:hAnsiTheme="majorEastAsia" w:eastAsiaTheme="majorEastAsia"/>
          <w:kern w:val="1"/>
          <w:szCs w:val="24"/>
        </w:rPr>
        <w:t>：</w:t>
      </w:r>
    </w:p>
    <w:p>
      <w:pPr>
        <w:pStyle w:val="50"/>
        <w:jc w:val="center"/>
        <w:rPr>
          <w:rFonts w:cs="宋体" w:asciiTheme="majorEastAsia" w:hAnsiTheme="majorEastAsia" w:eastAsiaTheme="majorEastAsia"/>
          <w:b/>
          <w:kern w:val="1"/>
          <w:sz w:val="28"/>
          <w:szCs w:val="28"/>
        </w:rPr>
      </w:pPr>
      <w:r>
        <w:rPr>
          <w:rFonts w:cs="宋体" w:asciiTheme="majorEastAsia" w:hAnsiTheme="majorEastAsia" w:eastAsiaTheme="majorEastAsia"/>
          <w:b/>
          <w:kern w:val="1"/>
          <w:sz w:val="28"/>
          <w:szCs w:val="28"/>
        </w:rPr>
        <w:t>信用记录承诺</w:t>
      </w:r>
    </w:p>
    <w:p>
      <w:pPr>
        <w:pStyle w:val="50"/>
        <w:rPr>
          <w:rFonts w:cs="宋体" w:asciiTheme="majorEastAsia" w:hAnsiTheme="majorEastAsia" w:eastAsiaTheme="majorEastAsia"/>
          <w:kern w:val="1"/>
          <w:szCs w:val="24"/>
        </w:rPr>
      </w:pPr>
    </w:p>
    <w:p>
      <w:pPr>
        <w:pStyle w:val="50"/>
        <w:rPr>
          <w:rFonts w:cs="宋体" w:asciiTheme="majorEastAsia" w:hAnsiTheme="majorEastAsia" w:eastAsiaTheme="majorEastAsia"/>
          <w:kern w:val="1"/>
          <w:szCs w:val="24"/>
        </w:rPr>
      </w:pPr>
      <w:r>
        <w:rPr>
          <w:rFonts w:cs="宋体" w:asciiTheme="majorEastAsia" w:hAnsiTheme="majorEastAsia" w:eastAsiaTheme="majorEastAsia"/>
          <w:kern w:val="1"/>
          <w:szCs w:val="24"/>
        </w:rPr>
        <w:t>致临沂鼎泰招标有限公司：</w:t>
      </w:r>
    </w:p>
    <w:p>
      <w:pPr>
        <w:pStyle w:val="50"/>
        <w:ind w:firstLine="480" w:firstLineChars="200"/>
        <w:rPr>
          <w:rFonts w:cs="宋体" w:asciiTheme="majorEastAsia" w:hAnsiTheme="majorEastAsia" w:eastAsiaTheme="majorEastAsia"/>
          <w:kern w:val="1"/>
          <w:szCs w:val="24"/>
        </w:rPr>
      </w:pPr>
      <w:r>
        <w:rPr>
          <w:rFonts w:cs="宋体" w:asciiTheme="majorEastAsia" w:hAnsiTheme="majorEastAsia" w:eastAsiaTheme="majorEastAsia"/>
          <w:kern w:val="1"/>
          <w:szCs w:val="24"/>
        </w:rPr>
        <w:t>我方郑重承诺，在参与</w:t>
      </w:r>
      <w:r>
        <w:rPr>
          <w:rFonts w:cs="宋体" w:asciiTheme="majorEastAsia" w:hAnsiTheme="majorEastAsia" w:eastAsiaTheme="majorEastAsia"/>
          <w:kern w:val="1"/>
          <w:szCs w:val="24"/>
          <w:u w:val="single"/>
        </w:rPr>
        <w:t xml:space="preserve"> </w:t>
      </w:r>
      <w:r>
        <w:rPr>
          <w:rFonts w:hint="eastAsia" w:cs="宋体" w:asciiTheme="majorEastAsia" w:hAnsiTheme="majorEastAsia" w:eastAsiaTheme="majorEastAsia"/>
          <w:kern w:val="1"/>
          <w:szCs w:val="24"/>
          <w:u w:val="single"/>
        </w:rPr>
        <w:t xml:space="preserve">        </w:t>
      </w:r>
      <w:r>
        <w:rPr>
          <w:rFonts w:cs="宋体" w:asciiTheme="majorEastAsia" w:hAnsiTheme="majorEastAsia" w:eastAsiaTheme="majorEastAsia"/>
          <w:kern w:val="1"/>
          <w:szCs w:val="24"/>
        </w:rPr>
        <w:t>项目（编号：</w:t>
      </w:r>
      <w:r>
        <w:rPr>
          <w:rFonts w:hint="eastAsia" w:cs="宋体" w:asciiTheme="majorEastAsia" w:hAnsiTheme="majorEastAsia" w:eastAsiaTheme="majorEastAsia"/>
          <w:kern w:val="1"/>
          <w:szCs w:val="24"/>
          <w:u w:val="single"/>
        </w:rPr>
        <w:t xml:space="preserve">        </w:t>
      </w:r>
      <w:r>
        <w:rPr>
          <w:rFonts w:cs="宋体" w:asciiTheme="majorEastAsia" w:hAnsiTheme="majorEastAsia" w:eastAsiaTheme="majorEastAsia"/>
          <w:kern w:val="1"/>
          <w:szCs w:val="24"/>
        </w:rPr>
        <w:t xml:space="preserve"> ）采购期间，未被《信用中国》网站（www.creditchina.gov.cn）公示存在不良信用记录。</w:t>
      </w:r>
    </w:p>
    <w:p>
      <w:pPr>
        <w:pStyle w:val="50"/>
        <w:rPr>
          <w:rFonts w:cs="宋体" w:asciiTheme="majorEastAsia" w:hAnsiTheme="majorEastAsia" w:eastAsiaTheme="majorEastAsia"/>
          <w:kern w:val="1"/>
          <w:szCs w:val="24"/>
        </w:rPr>
      </w:pPr>
      <w:r>
        <w:rPr>
          <w:rFonts w:cs="宋体" w:asciiTheme="majorEastAsia" w:hAnsiTheme="majorEastAsia" w:eastAsiaTheme="majorEastAsia"/>
          <w:kern w:val="1"/>
          <w:szCs w:val="24"/>
        </w:rPr>
        <w:t>（后附我方在上述网站查询结果截图）</w:t>
      </w:r>
    </w:p>
    <w:p>
      <w:pPr>
        <w:spacing w:line="480" w:lineRule="exact"/>
        <w:rPr>
          <w:rFonts w:asciiTheme="majorEastAsia" w:hAnsiTheme="majorEastAsia" w:eastAsiaTheme="majorEastAsia"/>
          <w:sz w:val="24"/>
        </w:rPr>
      </w:pPr>
      <w:r>
        <w:rPr>
          <w:rFonts w:hint="eastAsia" w:asciiTheme="majorEastAsia" w:hAnsiTheme="majorEastAsia" w:eastAsiaTheme="majorEastAsia"/>
          <w:sz w:val="24"/>
        </w:rPr>
        <w:t>供应商 （公章）：</w:t>
      </w:r>
    </w:p>
    <w:p>
      <w:pPr>
        <w:spacing w:line="460" w:lineRule="atLeast"/>
        <w:rPr>
          <w:rFonts w:asciiTheme="majorEastAsia" w:hAnsiTheme="majorEastAsia" w:eastAsiaTheme="majorEastAsia"/>
          <w:sz w:val="24"/>
        </w:rPr>
      </w:pPr>
      <w:r>
        <w:rPr>
          <w:rFonts w:hint="eastAsia" w:asciiTheme="majorEastAsia" w:hAnsiTheme="majorEastAsia" w:eastAsiaTheme="majorEastAsia"/>
          <w:sz w:val="24"/>
        </w:rPr>
        <w:t>法定代表人或供应商全权代表：（签字或印章）</w:t>
      </w:r>
    </w:p>
    <w:p>
      <w:pPr>
        <w:pStyle w:val="50"/>
        <w:jc w:val="right"/>
        <w:rPr>
          <w:rFonts w:cs="宋体" w:asciiTheme="majorEastAsia" w:hAnsiTheme="majorEastAsia" w:eastAsiaTheme="majorEastAsia"/>
          <w:kern w:val="1"/>
          <w:szCs w:val="24"/>
        </w:rPr>
      </w:pPr>
      <w:r>
        <w:rPr>
          <w:rFonts w:cs="宋体" w:asciiTheme="majorEastAsia" w:hAnsiTheme="majorEastAsia" w:eastAsiaTheme="majorEastAsia"/>
          <w:kern w:val="1"/>
          <w:szCs w:val="24"/>
        </w:rPr>
        <w:t>年 月 日</w:t>
      </w:r>
    </w:p>
    <w:p>
      <w:pPr>
        <w:pStyle w:val="50"/>
        <w:rPr>
          <w:rFonts w:cs="宋体" w:asciiTheme="majorEastAsia" w:hAnsiTheme="majorEastAsia" w:eastAsiaTheme="majorEastAsia"/>
          <w:szCs w:val="24"/>
        </w:rPr>
      </w:pPr>
      <w:r>
        <w:rPr>
          <w:rFonts w:cs="宋体" w:asciiTheme="majorEastAsia" w:hAnsiTheme="majorEastAsia" w:eastAsiaTheme="majorEastAsia"/>
          <w:szCs w:val="24"/>
        </w:rPr>
        <w:t>注：</w:t>
      </w:r>
    </w:p>
    <w:p>
      <w:pPr>
        <w:pStyle w:val="50"/>
        <w:rPr>
          <w:rFonts w:cs="宋体" w:asciiTheme="majorEastAsia" w:hAnsiTheme="majorEastAsia" w:eastAsiaTheme="majorEastAsia"/>
          <w:szCs w:val="24"/>
        </w:rPr>
      </w:pPr>
      <w:r>
        <w:rPr>
          <w:rFonts w:cs="宋体" w:asciiTheme="majorEastAsia" w:hAnsiTheme="majorEastAsia" w:eastAsiaTheme="majorEastAsia"/>
          <w:szCs w:val="24"/>
        </w:rPr>
        <w:t>1、网站截图为《信用中国》网站（www.creditchina.gov.cn）首页“信用信息”搜索一栏输入企业全称后得出的查询结果页面。信用记录承诺必须附网站截图。</w:t>
      </w:r>
      <w:r>
        <w:rPr>
          <w:rFonts w:hint="eastAsia" w:cs="宋体" w:asciiTheme="majorEastAsia" w:hAnsiTheme="majorEastAsia" w:eastAsiaTheme="majorEastAsia"/>
          <w:szCs w:val="24"/>
        </w:rPr>
        <w:t>及</w:t>
      </w:r>
      <w:r>
        <w:rPr>
          <w:rFonts w:cs="宋体" w:asciiTheme="majorEastAsia" w:hAnsiTheme="majorEastAsia" w:eastAsiaTheme="majorEastAsia"/>
          <w:szCs w:val="24"/>
        </w:rPr>
        <w:t>中国政府采购网（www.ccgp.gov.cn）“政府采购严重违法失信行为信息记录名单”</w:t>
      </w:r>
      <w:r>
        <w:rPr>
          <w:rFonts w:hint="eastAsia" w:cs="宋体" w:asciiTheme="majorEastAsia" w:hAnsiTheme="majorEastAsia" w:eastAsiaTheme="majorEastAsia"/>
          <w:szCs w:val="24"/>
        </w:rPr>
        <w:t>及中国裁判文书网无行贿查询记录证明</w:t>
      </w:r>
      <w:r>
        <w:rPr>
          <w:rFonts w:cs="宋体" w:asciiTheme="majorEastAsia" w:hAnsiTheme="majorEastAsia" w:eastAsiaTheme="majorEastAsia"/>
          <w:szCs w:val="24"/>
        </w:rPr>
        <w:t>查询截图。</w:t>
      </w:r>
    </w:p>
    <w:p>
      <w:pPr>
        <w:pStyle w:val="50"/>
        <w:rPr>
          <w:rFonts w:cs="宋体" w:asciiTheme="majorEastAsia" w:hAnsiTheme="majorEastAsia" w:eastAsiaTheme="majorEastAsia"/>
          <w:szCs w:val="24"/>
        </w:rPr>
      </w:pPr>
      <w:r>
        <w:rPr>
          <w:rFonts w:cs="宋体" w:asciiTheme="majorEastAsia" w:hAnsiTheme="majorEastAsia" w:eastAsiaTheme="majorEastAsia"/>
          <w:szCs w:val="24"/>
        </w:rPr>
        <w:t>2、截图中应显示网站域名，页面信息必须明确显示参与本项目企业全称</w:t>
      </w:r>
      <w:r>
        <w:rPr>
          <w:rFonts w:hint="eastAsia" w:cs="宋体" w:asciiTheme="majorEastAsia" w:hAnsiTheme="majorEastAsia" w:eastAsiaTheme="majorEastAsia"/>
          <w:szCs w:val="24"/>
        </w:rPr>
        <w:t>。</w:t>
      </w: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附件十二：</w:t>
      </w:r>
    </w:p>
    <w:p>
      <w:pPr>
        <w:spacing w:line="600" w:lineRule="exact"/>
        <w:ind w:left="181" w:leftChars="86" w:firstLine="1446" w:firstLineChars="450"/>
        <w:rPr>
          <w:rFonts w:asciiTheme="majorEastAsia" w:hAnsiTheme="majorEastAsia" w:eastAsiaTheme="majorEastAsia"/>
          <w:b/>
          <w:sz w:val="32"/>
          <w:szCs w:val="32"/>
        </w:rPr>
      </w:pPr>
      <w:r>
        <w:rPr>
          <w:rFonts w:hint="eastAsia" w:asciiTheme="majorEastAsia" w:hAnsiTheme="majorEastAsia" w:eastAsiaTheme="majorEastAsia"/>
          <w:b/>
          <w:sz w:val="32"/>
          <w:szCs w:val="32"/>
        </w:rPr>
        <w:t>临沂市政府采购响应人反商业贿赂承诺书</w:t>
      </w:r>
    </w:p>
    <w:p>
      <w:pPr>
        <w:spacing w:line="600" w:lineRule="exact"/>
        <w:ind w:left="181" w:leftChars="86"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为贯彻落实中央和省市关于治理商业贿赂的有关精神，进一步净化政府采购市场、规范政府采购行为，共同营造和维护竞争有序的政府采购市场，我们作为参加市政府采购的响应人就反商业贿赂向社会郑重承诺：</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xml:space="preserve">    一、认真学习并遵守国家相关的法律、法规及社会公德，树立质量为本的理念，诚实守信，依法参与政府采购活动，不搞不正当交易行为。</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xml:space="preserve">    二、在政府采购活动中，自觉遵守政府采购的法律法规的规定，依法依规进行政府采购项目招响应及公平交易，建立响应诚信、价格诚信、合同诚信、履约诚信、服务诚信等诚信体系。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xml:space="preserve">    三、不弄虚作假，骗取政府采购响应人资格；不提供虚假资质文件谋取成交或成交；不出错、转让、出卖资质（资格）证书；不允许他人以本企业名义承接或承揽政府采购业务。</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xml:space="preserve">    四、不采取“围标、陪标”等商业欺诈手段获得政府采购订单；不采取不正当手段诋毁、排挤其他响应人参与竞争。</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xml:space="preserve">    五、在政府采购活动中，不与采购人、采购代理机构及其工作人员和其他响应人串通，损害国家利益、社会公共利益和其他相关人的合法权益。</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xml:space="preserve">    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xml:space="preserve">   七、按规定与采购人签订政府采购合同，并严格按合同履约，为采购人提供符合质量标准规定的货物、工程和服务，不销售冒牌、走私货物；不擅自变更或终止、转让、转包政府采购合同；主动配合政府采购项目的验收工作。</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xml:space="preserve">   八、自觉接受政府采购监管部门的监督管理，积极配合检查和调查，并如实反映情况和提供材料。</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xml:space="preserve">   我们将严格遵守上述承诺事项，自愿接受主管（监管）部门和社会各方面的监督，如有违反的，自愿接受执法执纪机关和监督管理部门的处理。</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600" w:lineRule="exact"/>
        <w:ind w:left="120" w:hanging="120" w:hangingChars="50"/>
        <w:jc w:val="left"/>
        <w:rPr>
          <w:rFonts w:asciiTheme="majorEastAsia" w:hAnsiTheme="majorEastAsia" w:eastAsiaTheme="majorEastAsia"/>
          <w:sz w:val="24"/>
        </w:rPr>
      </w:pPr>
      <w:r>
        <w:rPr>
          <w:rFonts w:hint="eastAsia" w:asciiTheme="majorEastAsia" w:hAnsiTheme="majorEastAsia" w:eastAsiaTheme="majorEastAsia"/>
          <w:sz w:val="24"/>
        </w:rPr>
        <w:t>  承诺单位：（公章）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法定代表人或委托代理人：</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xml:space="preserve">                </w:t>
      </w:r>
    </w:p>
    <w:p>
      <w:pPr>
        <w:spacing w:line="600" w:lineRule="exact"/>
        <w:rPr>
          <w:rFonts w:asciiTheme="majorEastAsia" w:hAnsiTheme="majorEastAsia" w:eastAsiaTheme="majorEastAsia"/>
          <w:sz w:val="24"/>
        </w:rPr>
      </w:pPr>
      <w:r>
        <w:rPr>
          <w:rFonts w:hint="eastAsia" w:asciiTheme="majorEastAsia" w:hAnsiTheme="majorEastAsia" w:eastAsiaTheme="majorEastAsia"/>
          <w:sz w:val="24"/>
        </w:rPr>
        <w:t xml:space="preserve">                                                     年  月  日</w:t>
      </w: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附件十三：</w:t>
      </w:r>
    </w:p>
    <w:p>
      <w:pPr>
        <w:spacing w:line="460" w:lineRule="exact"/>
        <w:jc w:val="center"/>
        <w:rPr>
          <w:rFonts w:cs="宋体" w:asciiTheme="majorEastAsia" w:hAnsiTheme="majorEastAsia" w:eastAsiaTheme="majorEastAsia"/>
          <w:sz w:val="36"/>
          <w:szCs w:val="36"/>
        </w:rPr>
      </w:pPr>
      <w:r>
        <w:rPr>
          <w:rFonts w:hint="eastAsia" w:cs="宋体" w:asciiTheme="majorEastAsia" w:hAnsiTheme="majorEastAsia" w:eastAsiaTheme="majorEastAsia"/>
          <w:b/>
          <w:bCs/>
          <w:sz w:val="32"/>
          <w:szCs w:val="32"/>
          <w:shd w:val="clear" w:color="auto" w:fill="FFFFFF"/>
        </w:rPr>
        <w:t>中小企业声明函</w:t>
      </w:r>
    </w:p>
    <w:p>
      <w:pPr>
        <w:spacing w:line="460" w:lineRule="exact"/>
        <w:ind w:firstLine="480" w:firstLineChars="200"/>
        <w:rPr>
          <w:rFonts w:asciiTheme="majorEastAsia" w:hAnsiTheme="majorEastAsia" w:eastAsiaTheme="majorEastAsia"/>
          <w:sz w:val="24"/>
        </w:rPr>
      </w:pPr>
    </w:p>
    <w:p>
      <w:pPr>
        <w:spacing w:line="46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w:t>
      </w:r>
    </w:p>
    <w:p>
      <w:pPr>
        <w:spacing w:line="46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本公司同时满足以下条件：</w:t>
      </w:r>
    </w:p>
    <w:p>
      <w:pPr>
        <w:spacing w:line="46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根据《工业和信息化部、国家统计局、国家发展和改革委员会、财政部关于印发中小企业划型标准规定的通知》（工信部联企业〔2011〕300号）规定的划分标准，本公司为______（请填写：中型、小型、微型）企业。</w:t>
      </w:r>
    </w:p>
    <w:p>
      <w:pPr>
        <w:spacing w:line="46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46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本公司对上述声明的真实性负责。如有虚假，将依法承担相应责任。</w:t>
      </w:r>
      <w:bookmarkStart w:id="21" w:name="ref_[1]_7369364"/>
      <w:r>
        <w:rPr>
          <w:rFonts w:hint="eastAsia" w:asciiTheme="majorEastAsia" w:hAnsiTheme="majorEastAsia" w:eastAsiaTheme="majorEastAsia"/>
          <w:sz w:val="24"/>
        </w:rPr>
        <w:t> </w:t>
      </w:r>
      <w:bookmarkEnd w:id="21"/>
    </w:p>
    <w:p>
      <w:pPr>
        <w:spacing w:line="460" w:lineRule="exact"/>
        <w:ind w:firstLine="480" w:firstLineChars="200"/>
        <w:rPr>
          <w:rFonts w:asciiTheme="majorEastAsia" w:hAnsiTheme="majorEastAsia" w:eastAsiaTheme="majorEastAsia"/>
          <w:sz w:val="24"/>
        </w:rPr>
      </w:pPr>
    </w:p>
    <w:p>
      <w:pPr>
        <w:spacing w:line="46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供应商（盖章）：</w:t>
      </w:r>
    </w:p>
    <w:p>
      <w:pPr>
        <w:spacing w:line="46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法定代表人或全权代表（签字）：</w:t>
      </w:r>
    </w:p>
    <w:p>
      <w:pPr>
        <w:spacing w:line="46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                                                日期：    年    月    日</w:t>
      </w:r>
    </w:p>
    <w:p>
      <w:pPr>
        <w:tabs>
          <w:tab w:val="left" w:pos="900"/>
        </w:tabs>
        <w:spacing w:line="5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从 业 人 员 声 明 函</w:t>
      </w:r>
    </w:p>
    <w:p>
      <w:pPr>
        <w:spacing w:line="500" w:lineRule="exact"/>
        <w:ind w:left="105" w:leftChars="50" w:right="105" w:rightChars="50" w:firstLine="600" w:firstLineChars="250"/>
        <w:rPr>
          <w:rFonts w:asciiTheme="majorEastAsia" w:hAnsiTheme="majorEastAsia" w:eastAsiaTheme="majorEastAsia"/>
          <w:bCs/>
          <w:sz w:val="24"/>
          <w:szCs w:val="24"/>
        </w:rPr>
      </w:pPr>
      <w:r>
        <w:rPr>
          <w:rFonts w:hint="eastAsia" w:asciiTheme="majorEastAsia" w:hAnsiTheme="majorEastAsia" w:eastAsiaTheme="majorEastAsia"/>
          <w:bCs/>
          <w:sz w:val="24"/>
          <w:szCs w:val="24"/>
        </w:rPr>
        <w:t>本公司郑重声明：根据《政府采购促进中小企业发展暂行办法》（财库 [2011]181 号）、《工业和信息部、国家统计局、国家发展和改革委员会、财政部关于印发中小企业划型标准规定的通知》（工信部联企业[2011]300 号） 规定，本公司从业人员数为</w:t>
      </w:r>
      <w:r>
        <w:rPr>
          <w:rFonts w:hint="eastAsia" w:asciiTheme="majorEastAsia" w:hAnsiTheme="majorEastAsia" w:eastAsiaTheme="majorEastAsia"/>
          <w:bCs/>
          <w:sz w:val="24"/>
          <w:szCs w:val="24"/>
          <w:u w:val="single"/>
        </w:rPr>
        <w:t xml:space="preserve">          </w:t>
      </w:r>
      <w:r>
        <w:rPr>
          <w:rFonts w:hint="eastAsia" w:asciiTheme="majorEastAsia" w:hAnsiTheme="majorEastAsia" w:eastAsiaTheme="majorEastAsia"/>
          <w:bCs/>
          <w:sz w:val="24"/>
          <w:szCs w:val="24"/>
        </w:rPr>
        <w:t>。 本公司对上述声明的真实性负责，如有虚假，将依法承担相应责任。</w:t>
      </w:r>
    </w:p>
    <w:p>
      <w:pPr>
        <w:spacing w:line="500" w:lineRule="exact"/>
        <w:ind w:left="105" w:leftChars="50" w:right="105" w:rightChars="50" w:firstLine="600" w:firstLineChars="250"/>
        <w:rPr>
          <w:rFonts w:asciiTheme="majorEastAsia" w:hAnsiTheme="majorEastAsia" w:eastAsiaTheme="majorEastAsia"/>
          <w:bCs/>
          <w:sz w:val="24"/>
          <w:szCs w:val="24"/>
        </w:rPr>
      </w:pPr>
    </w:p>
    <w:p>
      <w:pPr>
        <w:spacing w:line="500" w:lineRule="exact"/>
        <w:ind w:left="105" w:leftChars="50" w:right="105" w:rightChars="50" w:firstLine="600" w:firstLineChars="250"/>
        <w:rPr>
          <w:rFonts w:asciiTheme="majorEastAsia" w:hAnsiTheme="majorEastAsia" w:eastAsiaTheme="majorEastAsia"/>
          <w:bCs/>
          <w:sz w:val="24"/>
          <w:szCs w:val="24"/>
        </w:rPr>
      </w:pPr>
      <w:r>
        <w:rPr>
          <w:rFonts w:hint="eastAsia" w:asciiTheme="majorEastAsia" w:hAnsiTheme="majorEastAsia" w:eastAsiaTheme="majorEastAsia"/>
          <w:bCs/>
          <w:sz w:val="24"/>
          <w:szCs w:val="24"/>
        </w:rPr>
        <w:tab/>
      </w:r>
      <w:r>
        <w:rPr>
          <w:rFonts w:hint="eastAsia" w:asciiTheme="majorEastAsia" w:hAnsiTheme="majorEastAsia" w:eastAsiaTheme="majorEastAsia"/>
          <w:bCs/>
          <w:sz w:val="24"/>
          <w:szCs w:val="24"/>
        </w:rPr>
        <w:t xml:space="preserve">                                       企业名称（盖章）：</w:t>
      </w:r>
    </w:p>
    <w:p>
      <w:pPr>
        <w:spacing w:line="460" w:lineRule="exact"/>
        <w:ind w:firstLine="480" w:firstLineChars="200"/>
        <w:rPr>
          <w:rFonts w:asciiTheme="majorEastAsia" w:hAnsiTheme="majorEastAsia" w:eastAsiaTheme="majorEastAsia"/>
          <w:sz w:val="24"/>
        </w:rPr>
      </w:pPr>
      <w:r>
        <w:rPr>
          <w:rFonts w:hint="eastAsia" w:asciiTheme="majorEastAsia" w:hAnsiTheme="majorEastAsia" w:eastAsiaTheme="majorEastAsia"/>
          <w:bCs/>
          <w:sz w:val="24"/>
          <w:szCs w:val="24"/>
        </w:rPr>
        <w:t xml:space="preserve">                                                     日期：</w:t>
      </w:r>
    </w:p>
    <w:p>
      <w:pPr>
        <w:spacing w:line="480" w:lineRule="exact"/>
        <w:ind w:firstLine="482" w:firstLineChars="20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注：</w:t>
      </w:r>
      <w:r>
        <w:rPr>
          <w:rFonts w:hint="eastAsia" w:cs="宋体" w:asciiTheme="majorEastAsia" w:hAnsiTheme="majorEastAsia" w:eastAsiaTheme="majorEastAsia"/>
          <w:b/>
          <w:bCs/>
          <w:sz w:val="24"/>
          <w:szCs w:val="24"/>
        </w:rPr>
        <w:t>如所投产品不是小型、微型企业的产品，则不需填写本表</w:t>
      </w:r>
      <w:r>
        <w:rPr>
          <w:rFonts w:hint="eastAsia" w:asciiTheme="majorEastAsia" w:hAnsiTheme="majorEastAsia" w:eastAsiaTheme="majorEastAsia"/>
          <w:b/>
          <w:sz w:val="24"/>
          <w:szCs w:val="24"/>
        </w:rPr>
        <w:t>。</w:t>
      </w:r>
    </w:p>
    <w:p>
      <w:pPr>
        <w:pStyle w:val="66"/>
        <w:rPr>
          <w:rFonts w:asciiTheme="majorEastAsia" w:hAnsiTheme="majorEastAsia" w:eastAsiaTheme="majorEastAsia"/>
          <w:b/>
          <w:color w:val="auto"/>
          <w:szCs w:val="24"/>
        </w:rPr>
      </w:pPr>
    </w:p>
    <w:p>
      <w:pPr>
        <w:spacing w:line="480" w:lineRule="exact"/>
        <w:jc w:val="left"/>
        <w:rPr>
          <w:rFonts w:asciiTheme="majorEastAsia" w:hAnsiTheme="majorEastAsia" w:eastAsiaTheme="majorEastAsia"/>
          <w:sz w:val="24"/>
          <w:szCs w:val="24"/>
        </w:rPr>
      </w:pPr>
    </w:p>
    <w:p>
      <w:pPr>
        <w:spacing w:line="48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附件十四：</w:t>
      </w:r>
    </w:p>
    <w:p>
      <w:pPr>
        <w:topLinePunct/>
        <w:spacing w:line="480" w:lineRule="exact"/>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小型和微型企业产品明细表</w:t>
      </w:r>
    </w:p>
    <w:p>
      <w:pPr>
        <w:topLinePunct/>
        <w:spacing w:line="480" w:lineRule="exact"/>
        <w:jc w:val="center"/>
        <w:rPr>
          <w:rFonts w:cs="宋体" w:asciiTheme="majorEastAsia" w:hAnsiTheme="majorEastAsia" w:eastAsiaTheme="majorEastAsia"/>
          <w:sz w:val="28"/>
          <w:szCs w:val="28"/>
        </w:rPr>
      </w:pPr>
      <w:r>
        <w:rPr>
          <w:rFonts w:hint="eastAsia" w:cs="宋体" w:asciiTheme="majorEastAsia" w:hAnsiTheme="majorEastAsia" w:eastAsiaTheme="majorEastAsia"/>
          <w:b/>
          <w:sz w:val="32"/>
          <w:szCs w:val="32"/>
        </w:rPr>
        <w:t xml:space="preserve">                                           </w:t>
      </w:r>
      <w:r>
        <w:rPr>
          <w:rFonts w:hint="eastAsia" w:cs="宋体" w:asciiTheme="majorEastAsia" w:hAnsiTheme="majorEastAsia" w:eastAsiaTheme="majorEastAsia"/>
          <w:b/>
          <w:sz w:val="24"/>
          <w:szCs w:val="24"/>
        </w:rPr>
        <w:t xml:space="preserve"> </w:t>
      </w:r>
    </w:p>
    <w:tbl>
      <w:tblPr>
        <w:tblStyle w:val="56"/>
        <w:tblW w:w="9080"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17"/>
        <w:gridCol w:w="1187"/>
        <w:gridCol w:w="1385"/>
        <w:gridCol w:w="713"/>
        <w:gridCol w:w="645"/>
        <w:gridCol w:w="713"/>
        <w:gridCol w:w="1591"/>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5"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序号</w:t>
            </w:r>
          </w:p>
        </w:tc>
        <w:tc>
          <w:tcPr>
            <w:tcW w:w="1117"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货物名称</w:t>
            </w:r>
          </w:p>
        </w:tc>
        <w:tc>
          <w:tcPr>
            <w:tcW w:w="1187"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型号/规格</w:t>
            </w:r>
          </w:p>
        </w:tc>
        <w:tc>
          <w:tcPr>
            <w:tcW w:w="1385"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制造商名称</w:t>
            </w:r>
          </w:p>
        </w:tc>
        <w:tc>
          <w:tcPr>
            <w:tcW w:w="713"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数量</w:t>
            </w:r>
          </w:p>
        </w:tc>
        <w:tc>
          <w:tcPr>
            <w:tcW w:w="645"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单价</w:t>
            </w:r>
          </w:p>
        </w:tc>
        <w:tc>
          <w:tcPr>
            <w:tcW w:w="713"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合计</w:t>
            </w:r>
          </w:p>
        </w:tc>
        <w:tc>
          <w:tcPr>
            <w:tcW w:w="1591" w:type="dxa"/>
            <w:vAlign w:val="center"/>
          </w:tcPr>
          <w:p>
            <w:pPr>
              <w:topLinePunct/>
              <w:jc w:val="center"/>
              <w:rPr>
                <w:rFonts w:cs="宋体" w:asciiTheme="majorEastAsia" w:hAnsiTheme="majorEastAsia" w:eastAsiaTheme="majorEastAsia"/>
                <w:sz w:val="24"/>
                <w:szCs w:val="24"/>
              </w:rPr>
            </w:pPr>
            <w:r>
              <w:rPr>
                <w:rFonts w:hint="eastAsia" w:asciiTheme="majorEastAsia" w:hAnsiTheme="majorEastAsia" w:eastAsiaTheme="majorEastAsia"/>
                <w:sz w:val="24"/>
              </w:rPr>
              <w:t>在本次响应报价中所占比例</w:t>
            </w:r>
          </w:p>
        </w:tc>
        <w:tc>
          <w:tcPr>
            <w:tcW w:w="1034"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Pr>
          <w:p>
            <w:pPr>
              <w:topLinePunct/>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1117" w:type="dxa"/>
          </w:tcPr>
          <w:p>
            <w:pPr>
              <w:topLinePunct/>
              <w:spacing w:line="480" w:lineRule="exact"/>
              <w:rPr>
                <w:rFonts w:cs="宋体" w:asciiTheme="majorEastAsia" w:hAnsiTheme="majorEastAsia" w:eastAsiaTheme="majorEastAsia"/>
                <w:sz w:val="24"/>
                <w:szCs w:val="24"/>
              </w:rPr>
            </w:pPr>
          </w:p>
        </w:tc>
        <w:tc>
          <w:tcPr>
            <w:tcW w:w="1187" w:type="dxa"/>
          </w:tcPr>
          <w:p>
            <w:pPr>
              <w:topLinePunct/>
              <w:spacing w:line="480" w:lineRule="exact"/>
              <w:rPr>
                <w:rFonts w:cs="宋体" w:asciiTheme="majorEastAsia" w:hAnsiTheme="majorEastAsia" w:eastAsiaTheme="majorEastAsia"/>
                <w:sz w:val="24"/>
                <w:szCs w:val="24"/>
              </w:rPr>
            </w:pPr>
          </w:p>
        </w:tc>
        <w:tc>
          <w:tcPr>
            <w:tcW w:w="1385" w:type="dxa"/>
          </w:tcPr>
          <w:p>
            <w:pPr>
              <w:topLinePunct/>
              <w:spacing w:line="480" w:lineRule="exact"/>
              <w:rPr>
                <w:rFonts w:cs="宋体" w:asciiTheme="majorEastAsia" w:hAnsiTheme="majorEastAsia" w:eastAsiaTheme="majorEastAsia"/>
                <w:sz w:val="24"/>
                <w:szCs w:val="24"/>
              </w:rPr>
            </w:pPr>
          </w:p>
        </w:tc>
        <w:tc>
          <w:tcPr>
            <w:tcW w:w="713" w:type="dxa"/>
          </w:tcPr>
          <w:p>
            <w:pPr>
              <w:topLinePunct/>
              <w:spacing w:line="480" w:lineRule="exact"/>
              <w:rPr>
                <w:rFonts w:cs="宋体" w:asciiTheme="majorEastAsia" w:hAnsiTheme="majorEastAsia" w:eastAsiaTheme="majorEastAsia"/>
                <w:sz w:val="24"/>
                <w:szCs w:val="24"/>
              </w:rPr>
            </w:pPr>
          </w:p>
        </w:tc>
        <w:tc>
          <w:tcPr>
            <w:tcW w:w="645" w:type="dxa"/>
          </w:tcPr>
          <w:p>
            <w:pPr>
              <w:topLinePunct/>
              <w:spacing w:line="480" w:lineRule="exact"/>
              <w:rPr>
                <w:rFonts w:cs="宋体" w:asciiTheme="majorEastAsia" w:hAnsiTheme="majorEastAsia" w:eastAsiaTheme="majorEastAsia"/>
                <w:sz w:val="24"/>
                <w:szCs w:val="24"/>
              </w:rPr>
            </w:pPr>
          </w:p>
        </w:tc>
        <w:tc>
          <w:tcPr>
            <w:tcW w:w="713" w:type="dxa"/>
          </w:tcPr>
          <w:p>
            <w:pPr>
              <w:topLinePunct/>
              <w:spacing w:line="480" w:lineRule="exact"/>
              <w:rPr>
                <w:rFonts w:cs="宋体" w:asciiTheme="majorEastAsia" w:hAnsiTheme="majorEastAsia" w:eastAsiaTheme="majorEastAsia"/>
                <w:sz w:val="24"/>
                <w:szCs w:val="24"/>
              </w:rPr>
            </w:pPr>
          </w:p>
        </w:tc>
        <w:tc>
          <w:tcPr>
            <w:tcW w:w="1591" w:type="dxa"/>
          </w:tcPr>
          <w:p>
            <w:pPr>
              <w:topLinePunct/>
              <w:spacing w:line="480" w:lineRule="exact"/>
              <w:rPr>
                <w:rFonts w:cs="宋体" w:asciiTheme="majorEastAsia" w:hAnsiTheme="majorEastAsia" w:eastAsiaTheme="majorEastAsia"/>
                <w:sz w:val="24"/>
                <w:szCs w:val="24"/>
              </w:rPr>
            </w:pPr>
          </w:p>
        </w:tc>
        <w:tc>
          <w:tcPr>
            <w:tcW w:w="1034" w:type="dxa"/>
          </w:tcPr>
          <w:p>
            <w:pPr>
              <w:topLinePunct/>
              <w:spacing w:line="480" w:lineRule="exact"/>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Pr>
          <w:p>
            <w:pPr>
              <w:topLinePunct/>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1117" w:type="dxa"/>
          </w:tcPr>
          <w:p>
            <w:pPr>
              <w:topLinePunct/>
              <w:spacing w:line="480" w:lineRule="exact"/>
              <w:rPr>
                <w:rFonts w:cs="宋体" w:asciiTheme="majorEastAsia" w:hAnsiTheme="majorEastAsia" w:eastAsiaTheme="majorEastAsia"/>
                <w:sz w:val="24"/>
                <w:szCs w:val="24"/>
              </w:rPr>
            </w:pPr>
          </w:p>
        </w:tc>
        <w:tc>
          <w:tcPr>
            <w:tcW w:w="1187" w:type="dxa"/>
          </w:tcPr>
          <w:p>
            <w:pPr>
              <w:topLinePunct/>
              <w:spacing w:line="480" w:lineRule="exact"/>
              <w:rPr>
                <w:rFonts w:cs="宋体" w:asciiTheme="majorEastAsia" w:hAnsiTheme="majorEastAsia" w:eastAsiaTheme="majorEastAsia"/>
                <w:sz w:val="24"/>
                <w:szCs w:val="24"/>
              </w:rPr>
            </w:pPr>
          </w:p>
        </w:tc>
        <w:tc>
          <w:tcPr>
            <w:tcW w:w="1385" w:type="dxa"/>
          </w:tcPr>
          <w:p>
            <w:pPr>
              <w:topLinePunct/>
              <w:spacing w:line="480" w:lineRule="exact"/>
              <w:rPr>
                <w:rFonts w:cs="宋体" w:asciiTheme="majorEastAsia" w:hAnsiTheme="majorEastAsia" w:eastAsiaTheme="majorEastAsia"/>
                <w:sz w:val="24"/>
                <w:szCs w:val="24"/>
              </w:rPr>
            </w:pPr>
          </w:p>
        </w:tc>
        <w:tc>
          <w:tcPr>
            <w:tcW w:w="713" w:type="dxa"/>
          </w:tcPr>
          <w:p>
            <w:pPr>
              <w:topLinePunct/>
              <w:spacing w:line="480" w:lineRule="exact"/>
              <w:rPr>
                <w:rFonts w:cs="宋体" w:asciiTheme="majorEastAsia" w:hAnsiTheme="majorEastAsia" w:eastAsiaTheme="majorEastAsia"/>
                <w:sz w:val="24"/>
                <w:szCs w:val="24"/>
              </w:rPr>
            </w:pPr>
          </w:p>
        </w:tc>
        <w:tc>
          <w:tcPr>
            <w:tcW w:w="645" w:type="dxa"/>
          </w:tcPr>
          <w:p>
            <w:pPr>
              <w:topLinePunct/>
              <w:spacing w:line="480" w:lineRule="exact"/>
              <w:rPr>
                <w:rFonts w:cs="宋体" w:asciiTheme="majorEastAsia" w:hAnsiTheme="majorEastAsia" w:eastAsiaTheme="majorEastAsia"/>
                <w:sz w:val="24"/>
                <w:szCs w:val="24"/>
              </w:rPr>
            </w:pPr>
          </w:p>
        </w:tc>
        <w:tc>
          <w:tcPr>
            <w:tcW w:w="713" w:type="dxa"/>
          </w:tcPr>
          <w:p>
            <w:pPr>
              <w:topLinePunct/>
              <w:spacing w:line="480" w:lineRule="exact"/>
              <w:rPr>
                <w:rFonts w:cs="宋体" w:asciiTheme="majorEastAsia" w:hAnsiTheme="majorEastAsia" w:eastAsiaTheme="majorEastAsia"/>
                <w:sz w:val="24"/>
                <w:szCs w:val="24"/>
              </w:rPr>
            </w:pPr>
          </w:p>
        </w:tc>
        <w:tc>
          <w:tcPr>
            <w:tcW w:w="1591" w:type="dxa"/>
          </w:tcPr>
          <w:p>
            <w:pPr>
              <w:topLinePunct/>
              <w:spacing w:line="480" w:lineRule="exact"/>
              <w:rPr>
                <w:rFonts w:cs="宋体" w:asciiTheme="majorEastAsia" w:hAnsiTheme="majorEastAsia" w:eastAsiaTheme="majorEastAsia"/>
                <w:sz w:val="24"/>
                <w:szCs w:val="24"/>
              </w:rPr>
            </w:pPr>
          </w:p>
        </w:tc>
        <w:tc>
          <w:tcPr>
            <w:tcW w:w="1034" w:type="dxa"/>
          </w:tcPr>
          <w:p>
            <w:pPr>
              <w:topLinePunct/>
              <w:spacing w:line="480" w:lineRule="exact"/>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Pr>
          <w:p>
            <w:pPr>
              <w:topLinePunct/>
              <w:spacing w:line="48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1117" w:type="dxa"/>
          </w:tcPr>
          <w:p>
            <w:pPr>
              <w:topLinePunct/>
              <w:spacing w:line="480" w:lineRule="exact"/>
              <w:rPr>
                <w:rFonts w:cs="宋体" w:asciiTheme="majorEastAsia" w:hAnsiTheme="majorEastAsia" w:eastAsiaTheme="majorEastAsia"/>
                <w:sz w:val="24"/>
                <w:szCs w:val="24"/>
              </w:rPr>
            </w:pPr>
          </w:p>
        </w:tc>
        <w:tc>
          <w:tcPr>
            <w:tcW w:w="1187" w:type="dxa"/>
          </w:tcPr>
          <w:p>
            <w:pPr>
              <w:topLinePunct/>
              <w:spacing w:line="480" w:lineRule="exact"/>
              <w:rPr>
                <w:rFonts w:cs="宋体" w:asciiTheme="majorEastAsia" w:hAnsiTheme="majorEastAsia" w:eastAsiaTheme="majorEastAsia"/>
                <w:sz w:val="24"/>
                <w:szCs w:val="24"/>
              </w:rPr>
            </w:pPr>
          </w:p>
        </w:tc>
        <w:tc>
          <w:tcPr>
            <w:tcW w:w="1385" w:type="dxa"/>
          </w:tcPr>
          <w:p>
            <w:pPr>
              <w:topLinePunct/>
              <w:spacing w:line="480" w:lineRule="exact"/>
              <w:rPr>
                <w:rFonts w:cs="宋体" w:asciiTheme="majorEastAsia" w:hAnsiTheme="majorEastAsia" w:eastAsiaTheme="majorEastAsia"/>
                <w:sz w:val="24"/>
                <w:szCs w:val="24"/>
              </w:rPr>
            </w:pPr>
          </w:p>
        </w:tc>
        <w:tc>
          <w:tcPr>
            <w:tcW w:w="713" w:type="dxa"/>
          </w:tcPr>
          <w:p>
            <w:pPr>
              <w:topLinePunct/>
              <w:spacing w:line="480" w:lineRule="exact"/>
              <w:rPr>
                <w:rFonts w:cs="宋体" w:asciiTheme="majorEastAsia" w:hAnsiTheme="majorEastAsia" w:eastAsiaTheme="majorEastAsia"/>
                <w:sz w:val="24"/>
                <w:szCs w:val="24"/>
              </w:rPr>
            </w:pPr>
          </w:p>
        </w:tc>
        <w:tc>
          <w:tcPr>
            <w:tcW w:w="645" w:type="dxa"/>
          </w:tcPr>
          <w:p>
            <w:pPr>
              <w:topLinePunct/>
              <w:spacing w:line="480" w:lineRule="exact"/>
              <w:rPr>
                <w:rFonts w:cs="宋体" w:asciiTheme="majorEastAsia" w:hAnsiTheme="majorEastAsia" w:eastAsiaTheme="majorEastAsia"/>
                <w:sz w:val="24"/>
                <w:szCs w:val="24"/>
              </w:rPr>
            </w:pPr>
          </w:p>
        </w:tc>
        <w:tc>
          <w:tcPr>
            <w:tcW w:w="713" w:type="dxa"/>
          </w:tcPr>
          <w:p>
            <w:pPr>
              <w:topLinePunct/>
              <w:spacing w:line="480" w:lineRule="exact"/>
              <w:rPr>
                <w:rFonts w:cs="宋体" w:asciiTheme="majorEastAsia" w:hAnsiTheme="majorEastAsia" w:eastAsiaTheme="majorEastAsia"/>
                <w:sz w:val="24"/>
                <w:szCs w:val="24"/>
              </w:rPr>
            </w:pPr>
          </w:p>
        </w:tc>
        <w:tc>
          <w:tcPr>
            <w:tcW w:w="1591" w:type="dxa"/>
          </w:tcPr>
          <w:p>
            <w:pPr>
              <w:topLinePunct/>
              <w:spacing w:line="480" w:lineRule="exact"/>
              <w:rPr>
                <w:rFonts w:cs="宋体" w:asciiTheme="majorEastAsia" w:hAnsiTheme="majorEastAsia" w:eastAsiaTheme="majorEastAsia"/>
                <w:sz w:val="24"/>
                <w:szCs w:val="24"/>
              </w:rPr>
            </w:pPr>
          </w:p>
        </w:tc>
        <w:tc>
          <w:tcPr>
            <w:tcW w:w="1034" w:type="dxa"/>
          </w:tcPr>
          <w:p>
            <w:pPr>
              <w:topLinePunct/>
              <w:spacing w:line="480" w:lineRule="exact"/>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Pr>
          <w:p>
            <w:pPr>
              <w:topLinePunct/>
              <w:spacing w:line="4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c>
          <w:tcPr>
            <w:tcW w:w="1117" w:type="dxa"/>
          </w:tcPr>
          <w:p>
            <w:pPr>
              <w:topLinePunct/>
              <w:spacing w:line="480" w:lineRule="exact"/>
              <w:rPr>
                <w:rFonts w:cs="宋体" w:asciiTheme="majorEastAsia" w:hAnsiTheme="majorEastAsia" w:eastAsiaTheme="majorEastAsia"/>
                <w:sz w:val="24"/>
                <w:szCs w:val="24"/>
              </w:rPr>
            </w:pPr>
          </w:p>
        </w:tc>
        <w:tc>
          <w:tcPr>
            <w:tcW w:w="1187" w:type="dxa"/>
          </w:tcPr>
          <w:p>
            <w:pPr>
              <w:topLinePunct/>
              <w:spacing w:line="480" w:lineRule="exact"/>
              <w:rPr>
                <w:rFonts w:cs="宋体" w:asciiTheme="majorEastAsia" w:hAnsiTheme="majorEastAsia" w:eastAsiaTheme="majorEastAsia"/>
                <w:sz w:val="24"/>
                <w:szCs w:val="24"/>
              </w:rPr>
            </w:pPr>
          </w:p>
        </w:tc>
        <w:tc>
          <w:tcPr>
            <w:tcW w:w="1385" w:type="dxa"/>
          </w:tcPr>
          <w:p>
            <w:pPr>
              <w:topLinePunct/>
              <w:spacing w:line="480" w:lineRule="exact"/>
              <w:rPr>
                <w:rFonts w:cs="宋体" w:asciiTheme="majorEastAsia" w:hAnsiTheme="majorEastAsia" w:eastAsiaTheme="majorEastAsia"/>
                <w:sz w:val="24"/>
                <w:szCs w:val="24"/>
              </w:rPr>
            </w:pPr>
          </w:p>
        </w:tc>
        <w:tc>
          <w:tcPr>
            <w:tcW w:w="713" w:type="dxa"/>
          </w:tcPr>
          <w:p>
            <w:pPr>
              <w:topLinePunct/>
              <w:spacing w:line="480" w:lineRule="exact"/>
              <w:rPr>
                <w:rFonts w:cs="宋体" w:asciiTheme="majorEastAsia" w:hAnsiTheme="majorEastAsia" w:eastAsiaTheme="majorEastAsia"/>
                <w:sz w:val="24"/>
                <w:szCs w:val="24"/>
              </w:rPr>
            </w:pPr>
          </w:p>
        </w:tc>
        <w:tc>
          <w:tcPr>
            <w:tcW w:w="645" w:type="dxa"/>
          </w:tcPr>
          <w:p>
            <w:pPr>
              <w:topLinePunct/>
              <w:spacing w:line="480" w:lineRule="exact"/>
              <w:rPr>
                <w:rFonts w:cs="宋体" w:asciiTheme="majorEastAsia" w:hAnsiTheme="majorEastAsia" w:eastAsiaTheme="majorEastAsia"/>
                <w:sz w:val="24"/>
                <w:szCs w:val="24"/>
              </w:rPr>
            </w:pPr>
          </w:p>
        </w:tc>
        <w:tc>
          <w:tcPr>
            <w:tcW w:w="713" w:type="dxa"/>
          </w:tcPr>
          <w:p>
            <w:pPr>
              <w:topLinePunct/>
              <w:spacing w:line="480" w:lineRule="exact"/>
              <w:rPr>
                <w:rFonts w:cs="宋体" w:asciiTheme="majorEastAsia" w:hAnsiTheme="majorEastAsia" w:eastAsiaTheme="majorEastAsia"/>
                <w:sz w:val="24"/>
                <w:szCs w:val="24"/>
              </w:rPr>
            </w:pPr>
          </w:p>
        </w:tc>
        <w:tc>
          <w:tcPr>
            <w:tcW w:w="1591" w:type="dxa"/>
          </w:tcPr>
          <w:p>
            <w:pPr>
              <w:topLinePunct/>
              <w:spacing w:line="480" w:lineRule="exact"/>
              <w:rPr>
                <w:rFonts w:cs="宋体" w:asciiTheme="majorEastAsia" w:hAnsiTheme="majorEastAsia" w:eastAsiaTheme="majorEastAsia"/>
                <w:sz w:val="24"/>
                <w:szCs w:val="24"/>
              </w:rPr>
            </w:pPr>
          </w:p>
        </w:tc>
        <w:tc>
          <w:tcPr>
            <w:tcW w:w="1034" w:type="dxa"/>
          </w:tcPr>
          <w:p>
            <w:pPr>
              <w:topLinePunct/>
              <w:spacing w:line="480" w:lineRule="exact"/>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080" w:type="dxa"/>
            <w:gridSpan w:val="9"/>
            <w:vAlign w:val="center"/>
          </w:tcPr>
          <w:p>
            <w:pPr>
              <w:topLinePunct/>
              <w:spacing w:line="4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小型、微型企业产品报价总计：</w:t>
            </w:r>
          </w:p>
        </w:tc>
      </w:tr>
    </w:tbl>
    <w:p>
      <w:pPr>
        <w:topLinePunct/>
        <w:spacing w:line="480" w:lineRule="exact"/>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 xml:space="preserve">  说明：1、本表填入的产品应当是本企业生产的产品或提供其他小型企业、微型企业的产品；提供其他小型、微型企业产品的，须同时提供其声明函。</w:t>
      </w:r>
    </w:p>
    <w:p>
      <w:pPr>
        <w:topLinePunct/>
        <w:spacing w:line="480" w:lineRule="exact"/>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 xml:space="preserve">     2、根据《政府采购促进中小企业发展暂行办法》第二条第三款之规定，小型、微型企业提供中型企业制造的货物的，视同为中型企业。</w:t>
      </w:r>
    </w:p>
    <w:p>
      <w:pPr>
        <w:topLinePunct/>
        <w:spacing w:line="480" w:lineRule="exact"/>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 xml:space="preserve">     3、如所投产品为小型、微型企业产品，应当按规定格式逐项填写。如所投产品不是小型、微型企业的产品，则不需填写本表。</w:t>
      </w:r>
    </w:p>
    <w:p>
      <w:pPr>
        <w:topLinePunct/>
        <w:spacing w:line="480" w:lineRule="exact"/>
        <w:rPr>
          <w:rFonts w:cs="宋体" w:asciiTheme="majorEastAsia" w:hAnsiTheme="majorEastAsia" w:eastAsiaTheme="majorEastAsia"/>
          <w:sz w:val="28"/>
          <w:szCs w:val="28"/>
        </w:rPr>
      </w:pPr>
    </w:p>
    <w:p>
      <w:pPr>
        <w:topLinePunct/>
        <w:spacing w:line="480" w:lineRule="exact"/>
        <w:rPr>
          <w:rFonts w:cs="宋体" w:asciiTheme="majorEastAsia" w:hAnsiTheme="majorEastAsia" w:eastAsiaTheme="majorEastAsia"/>
          <w:sz w:val="28"/>
          <w:szCs w:val="28"/>
        </w:rPr>
      </w:pPr>
    </w:p>
    <w:p>
      <w:pPr>
        <w:topLinePunct/>
        <w:spacing w:line="480" w:lineRule="exact"/>
        <w:rPr>
          <w:rFonts w:cs="宋体" w:asciiTheme="majorEastAsia" w:hAnsiTheme="majorEastAsia" w:eastAsiaTheme="majorEastAsia"/>
          <w:sz w:val="28"/>
          <w:szCs w:val="28"/>
        </w:rPr>
      </w:pPr>
    </w:p>
    <w:p>
      <w:pPr>
        <w:topLinePunct/>
        <w:spacing w:line="480" w:lineRule="exact"/>
        <w:rPr>
          <w:rFonts w:cs="宋体" w:asciiTheme="majorEastAsia" w:hAnsiTheme="majorEastAsia" w:eastAsiaTheme="majorEastAsia"/>
          <w:sz w:val="28"/>
          <w:szCs w:val="28"/>
        </w:rPr>
      </w:pPr>
    </w:p>
    <w:p>
      <w:pPr>
        <w:spacing w:line="360" w:lineRule="auto"/>
        <w:ind w:firstLine="240" w:firstLineChars="100"/>
        <w:rPr>
          <w:rFonts w:asciiTheme="majorEastAsia" w:hAnsiTheme="majorEastAsia" w:eastAsiaTheme="majorEastAsia"/>
          <w:sz w:val="24"/>
        </w:rPr>
      </w:pPr>
      <w:r>
        <w:rPr>
          <w:rFonts w:hint="eastAsia" w:asciiTheme="majorEastAsia" w:hAnsiTheme="majorEastAsia" w:eastAsiaTheme="majorEastAsia"/>
          <w:sz w:val="24"/>
        </w:rPr>
        <w:t>供应商 （公章）：</w:t>
      </w:r>
    </w:p>
    <w:p>
      <w:pPr>
        <w:pStyle w:val="50"/>
        <w:spacing w:line="360" w:lineRule="auto"/>
        <w:rPr>
          <w:rFonts w:asciiTheme="majorEastAsia" w:hAnsiTheme="majorEastAsia" w:eastAsiaTheme="majorEastAsia"/>
        </w:rPr>
      </w:pPr>
      <w:r>
        <w:rPr>
          <w:rFonts w:hint="eastAsia" w:asciiTheme="majorEastAsia" w:hAnsiTheme="majorEastAsia" w:eastAsiaTheme="majorEastAsia"/>
        </w:rPr>
        <w:t xml:space="preserve">  法定代表人或供应商全权代表：（签字或印章）</w:t>
      </w:r>
    </w:p>
    <w:p>
      <w:pPr>
        <w:spacing w:line="480" w:lineRule="exact"/>
        <w:jc w:val="right"/>
        <w:rPr>
          <w:rFonts w:asciiTheme="majorEastAsia" w:hAnsiTheme="majorEastAsia" w:eastAsiaTheme="majorEastAsia"/>
          <w:sz w:val="24"/>
        </w:rPr>
      </w:pPr>
      <w:r>
        <w:rPr>
          <w:rFonts w:hint="eastAsia" w:asciiTheme="majorEastAsia" w:hAnsiTheme="majorEastAsia" w:eastAsiaTheme="majorEastAsia"/>
          <w:sz w:val="24"/>
        </w:rPr>
        <w:t xml:space="preserve">  年   月   日</w:t>
      </w:r>
    </w:p>
    <w:p>
      <w:pPr>
        <w:spacing w:line="480" w:lineRule="exact"/>
        <w:jc w:val="right"/>
        <w:rPr>
          <w:rFonts w:asciiTheme="majorEastAsia" w:hAnsiTheme="majorEastAsia" w:eastAsiaTheme="majorEastAsia"/>
          <w:sz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p>
    <w:p>
      <w:pPr>
        <w:spacing w:line="50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附件十五：</w:t>
      </w:r>
    </w:p>
    <w:p>
      <w:pPr>
        <w:spacing w:line="460" w:lineRule="exact"/>
        <w:ind w:left="420"/>
        <w:jc w:val="left"/>
        <w:rPr>
          <w:rFonts w:cs="宋体" w:asciiTheme="majorEastAsia" w:hAnsiTheme="majorEastAsia" w:eastAsiaTheme="majorEastAsia"/>
          <w:b/>
          <w:sz w:val="32"/>
          <w:szCs w:val="32"/>
        </w:rPr>
      </w:pPr>
    </w:p>
    <w:p>
      <w:pPr>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环境标志产品响应价格明细表</w:t>
      </w:r>
    </w:p>
    <w:p>
      <w:pPr>
        <w:jc w:val="center"/>
        <w:rPr>
          <w:rFonts w:cs="宋体" w:asciiTheme="majorEastAsia" w:hAnsiTheme="majorEastAsia" w:eastAsiaTheme="majorEastAsia"/>
          <w:b/>
          <w:sz w:val="32"/>
          <w:szCs w:val="32"/>
        </w:rPr>
      </w:pPr>
    </w:p>
    <w:tbl>
      <w:tblPr>
        <w:tblStyle w:val="56"/>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695"/>
        <w:gridCol w:w="1100"/>
        <w:gridCol w:w="1429"/>
        <w:gridCol w:w="837"/>
        <w:gridCol w:w="891"/>
        <w:gridCol w:w="84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rPr>
              <w:t>序号</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rPr>
              <w:t>环境标志产品名称</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rPr>
              <w:t>品牌型号</w:t>
            </w: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认证证书有效截止日期</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rPr>
              <w:t>数量</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rPr>
              <w:t>单价</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合价</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在本次响应报价中所占比例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837"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sz w:val="24"/>
                <w:szCs w:val="24"/>
              </w:rPr>
            </w:pPr>
          </w:p>
        </w:tc>
        <w:tc>
          <w:tcPr>
            <w:tcW w:w="891"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sz w:val="24"/>
                <w:szCs w:val="24"/>
              </w:rPr>
            </w:pPr>
          </w:p>
        </w:tc>
        <w:tc>
          <w:tcPr>
            <w:tcW w:w="845"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837"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sz w:val="24"/>
                <w:szCs w:val="24"/>
              </w:rPr>
            </w:pPr>
          </w:p>
        </w:tc>
        <w:tc>
          <w:tcPr>
            <w:tcW w:w="891"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sz w:val="24"/>
                <w:szCs w:val="24"/>
              </w:rPr>
            </w:pPr>
          </w:p>
        </w:tc>
        <w:tc>
          <w:tcPr>
            <w:tcW w:w="845"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rPr>
              <w:t>总合计</w:t>
            </w:r>
          </w:p>
        </w:tc>
        <w:tc>
          <w:tcPr>
            <w:tcW w:w="672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r>
    </w:tbl>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说明：1、环保产品是指中国政府采购网发布的最新目录内的产品，并附截图。</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2、如所投产品为环境标志产品，必须按规定格式逐项填写。如所投产品不是环保产品，则不需填写本表。</w:t>
      </w:r>
    </w:p>
    <w:p>
      <w:pPr>
        <w:pStyle w:val="16"/>
        <w:spacing w:beforeLines="50" w:afterLines="50" w:line="360" w:lineRule="auto"/>
        <w:ind w:firstLine="0" w:firstLineChars="0"/>
        <w:rPr>
          <w:rFonts w:asciiTheme="majorEastAsia" w:hAnsiTheme="majorEastAsia" w:eastAsiaTheme="majorEastAsia"/>
          <w:b/>
          <w:sz w:val="24"/>
        </w:rPr>
      </w:pPr>
    </w:p>
    <w:p>
      <w:pPr>
        <w:pStyle w:val="16"/>
        <w:spacing w:beforeLines="50" w:afterLines="50" w:line="360" w:lineRule="auto"/>
        <w:ind w:firstLine="0" w:firstLineChars="0"/>
        <w:rPr>
          <w:rFonts w:asciiTheme="majorEastAsia" w:hAnsiTheme="majorEastAsia" w:eastAsiaTheme="majorEastAsia"/>
          <w:b/>
          <w:sz w:val="24"/>
        </w:rPr>
      </w:pPr>
    </w:p>
    <w:p>
      <w:pPr>
        <w:pStyle w:val="16"/>
        <w:spacing w:beforeLines="50" w:afterLines="50" w:line="360" w:lineRule="auto"/>
        <w:ind w:firstLine="0" w:firstLineChars="0"/>
        <w:rPr>
          <w:rFonts w:asciiTheme="majorEastAsia" w:hAnsiTheme="majorEastAsia" w:eastAsiaTheme="majorEastAsia"/>
          <w:b/>
          <w:sz w:val="24"/>
        </w:rPr>
      </w:pPr>
    </w:p>
    <w:p>
      <w:pPr>
        <w:spacing w:line="360" w:lineRule="auto"/>
        <w:ind w:firstLine="480"/>
        <w:rPr>
          <w:rFonts w:asciiTheme="majorEastAsia" w:hAnsiTheme="majorEastAsia" w:eastAsiaTheme="majorEastAsia"/>
          <w:sz w:val="24"/>
        </w:rPr>
      </w:pPr>
      <w:r>
        <w:rPr>
          <w:rFonts w:hint="eastAsia" w:asciiTheme="majorEastAsia" w:hAnsiTheme="majorEastAsia" w:eastAsiaTheme="majorEastAsia"/>
          <w:sz w:val="24"/>
        </w:rPr>
        <w:t>供应商 （公章）：</w:t>
      </w:r>
    </w:p>
    <w:p>
      <w:pPr>
        <w:spacing w:line="360" w:lineRule="auto"/>
        <w:ind w:firstLine="240" w:firstLineChars="100"/>
        <w:rPr>
          <w:rFonts w:asciiTheme="majorEastAsia" w:hAnsiTheme="majorEastAsia" w:eastAsiaTheme="majorEastAsia"/>
          <w:sz w:val="28"/>
          <w:szCs w:val="28"/>
        </w:rPr>
      </w:pPr>
      <w:r>
        <w:rPr>
          <w:rFonts w:hint="eastAsia" w:asciiTheme="majorEastAsia" w:hAnsiTheme="majorEastAsia" w:eastAsiaTheme="majorEastAsia"/>
          <w:sz w:val="24"/>
        </w:rPr>
        <w:t xml:space="preserve">  法定代表人或供应商全权代表：（签字或印章）</w:t>
      </w:r>
      <w:r>
        <w:rPr>
          <w:rFonts w:hint="eastAsia" w:asciiTheme="majorEastAsia" w:hAnsiTheme="majorEastAsia" w:eastAsiaTheme="majorEastAsia"/>
          <w:sz w:val="28"/>
          <w:szCs w:val="28"/>
        </w:rPr>
        <w:t xml:space="preserve">   </w:t>
      </w:r>
    </w:p>
    <w:p>
      <w:pPr>
        <w:spacing w:line="360" w:lineRule="auto"/>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年   月   日</w:t>
      </w:r>
    </w:p>
    <w:p>
      <w:pPr>
        <w:spacing w:line="520" w:lineRule="exact"/>
        <w:jc w:val="center"/>
        <w:rPr>
          <w:rFonts w:asciiTheme="majorEastAsia" w:hAnsiTheme="majorEastAsia" w:eastAsiaTheme="majorEastAsia"/>
          <w:b/>
          <w:bCs/>
          <w:sz w:val="28"/>
          <w:szCs w:val="28"/>
        </w:rPr>
      </w:pPr>
    </w:p>
    <w:p>
      <w:pPr>
        <w:spacing w:line="480" w:lineRule="exact"/>
        <w:ind w:firstLine="562" w:firstLineChars="200"/>
        <w:rPr>
          <w:rFonts w:asciiTheme="majorEastAsia" w:hAnsiTheme="majorEastAsia" w:eastAsiaTheme="majorEastAsia"/>
          <w:b/>
          <w:bCs/>
          <w:sz w:val="28"/>
          <w:szCs w:val="28"/>
        </w:rPr>
      </w:pPr>
    </w:p>
    <w:p>
      <w:pPr>
        <w:spacing w:line="460" w:lineRule="exact"/>
        <w:jc w:val="left"/>
        <w:rPr>
          <w:rFonts w:asciiTheme="majorEastAsia" w:hAnsiTheme="majorEastAsia" w:eastAsiaTheme="majorEastAsia"/>
          <w:b/>
          <w:bCs/>
          <w:sz w:val="28"/>
          <w:szCs w:val="28"/>
        </w:rPr>
      </w:pPr>
    </w:p>
    <w:p>
      <w:pPr>
        <w:spacing w:line="460" w:lineRule="exact"/>
        <w:jc w:val="left"/>
        <w:rPr>
          <w:rFonts w:cs="宋体" w:asciiTheme="majorEastAsia" w:hAnsiTheme="majorEastAsia" w:eastAsiaTheme="majorEastAsia"/>
          <w:kern w:val="0"/>
          <w:sz w:val="24"/>
          <w:szCs w:val="24"/>
        </w:rPr>
      </w:pPr>
    </w:p>
    <w:p>
      <w:pPr>
        <w:spacing w:line="460" w:lineRule="exact"/>
        <w:jc w:val="left"/>
        <w:rPr>
          <w:rFonts w:cs="宋体" w:asciiTheme="majorEastAsia" w:hAnsiTheme="majorEastAsia" w:eastAsiaTheme="majorEastAsia"/>
          <w:kern w:val="0"/>
          <w:sz w:val="24"/>
          <w:szCs w:val="24"/>
        </w:rPr>
      </w:pPr>
    </w:p>
    <w:p>
      <w:pPr>
        <w:spacing w:line="460" w:lineRule="exact"/>
        <w:jc w:val="left"/>
        <w:rPr>
          <w:rFonts w:cs="宋体" w:asciiTheme="majorEastAsia" w:hAnsiTheme="majorEastAsia" w:eastAsiaTheme="majorEastAsia"/>
          <w:kern w:val="0"/>
          <w:sz w:val="24"/>
          <w:szCs w:val="24"/>
        </w:rPr>
      </w:pPr>
    </w:p>
    <w:p>
      <w:pPr>
        <w:pStyle w:val="65"/>
      </w:pPr>
    </w:p>
    <w:p>
      <w:pPr>
        <w:spacing w:line="460" w:lineRule="exact"/>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附件十六：</w:t>
      </w:r>
    </w:p>
    <w:p>
      <w:pPr>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节能产品明细表</w:t>
      </w:r>
    </w:p>
    <w:p>
      <w:pPr>
        <w:jc w:val="center"/>
        <w:rPr>
          <w:rFonts w:cs="宋体" w:asciiTheme="majorEastAsia" w:hAnsiTheme="majorEastAsia" w:eastAsiaTheme="majorEastAsia"/>
          <w:b/>
          <w:sz w:val="32"/>
          <w:szCs w:val="32"/>
        </w:rPr>
      </w:pPr>
    </w:p>
    <w:tbl>
      <w:tblPr>
        <w:tblStyle w:val="56"/>
        <w:tblW w:w="9200"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849"/>
        <w:gridCol w:w="1483"/>
        <w:gridCol w:w="1337"/>
        <w:gridCol w:w="1405"/>
        <w:gridCol w:w="696"/>
        <w:gridCol w:w="586"/>
        <w:gridCol w:w="71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88"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序号</w:t>
            </w:r>
          </w:p>
        </w:tc>
        <w:tc>
          <w:tcPr>
            <w:tcW w:w="849"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产品名称</w:t>
            </w:r>
          </w:p>
        </w:tc>
        <w:tc>
          <w:tcPr>
            <w:tcW w:w="1483"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品牌、规格型号</w:t>
            </w:r>
          </w:p>
        </w:tc>
        <w:tc>
          <w:tcPr>
            <w:tcW w:w="1337"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节字标志认证证书号</w:t>
            </w:r>
          </w:p>
        </w:tc>
        <w:tc>
          <w:tcPr>
            <w:tcW w:w="1405" w:type="dxa"/>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认证证书有效截止日期</w:t>
            </w:r>
          </w:p>
        </w:tc>
        <w:tc>
          <w:tcPr>
            <w:tcW w:w="696"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数量</w:t>
            </w:r>
          </w:p>
        </w:tc>
        <w:tc>
          <w:tcPr>
            <w:tcW w:w="586"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单价</w:t>
            </w:r>
          </w:p>
        </w:tc>
        <w:tc>
          <w:tcPr>
            <w:tcW w:w="710"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合价</w:t>
            </w:r>
          </w:p>
        </w:tc>
        <w:tc>
          <w:tcPr>
            <w:tcW w:w="1546" w:type="dxa"/>
            <w:vAlign w:val="center"/>
          </w:tcPr>
          <w:p>
            <w:pPr>
              <w:topLinePunct/>
              <w:jc w:val="center"/>
              <w:rPr>
                <w:rFonts w:cs="宋体" w:asciiTheme="majorEastAsia" w:hAnsiTheme="majorEastAsia" w:eastAsiaTheme="majorEastAsia"/>
                <w:sz w:val="24"/>
                <w:szCs w:val="24"/>
              </w:rPr>
            </w:pPr>
            <w:r>
              <w:rPr>
                <w:rFonts w:hint="eastAsia" w:asciiTheme="majorEastAsia" w:hAnsiTheme="majorEastAsia" w:eastAsiaTheme="majorEastAsia"/>
                <w:sz w:val="24"/>
              </w:rPr>
              <w:t>在本次响应报价中所占比例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8"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849" w:type="dxa"/>
            <w:vAlign w:val="center"/>
          </w:tcPr>
          <w:p>
            <w:pPr>
              <w:topLinePunct/>
              <w:jc w:val="center"/>
              <w:rPr>
                <w:rFonts w:cs="宋体" w:asciiTheme="majorEastAsia" w:hAnsiTheme="majorEastAsia" w:eastAsiaTheme="majorEastAsia"/>
                <w:sz w:val="24"/>
                <w:szCs w:val="24"/>
              </w:rPr>
            </w:pPr>
          </w:p>
        </w:tc>
        <w:tc>
          <w:tcPr>
            <w:tcW w:w="1483" w:type="dxa"/>
            <w:vAlign w:val="center"/>
          </w:tcPr>
          <w:p>
            <w:pPr>
              <w:topLinePunct/>
              <w:jc w:val="center"/>
              <w:rPr>
                <w:rFonts w:cs="宋体" w:asciiTheme="majorEastAsia" w:hAnsiTheme="majorEastAsia" w:eastAsiaTheme="majorEastAsia"/>
                <w:sz w:val="24"/>
                <w:szCs w:val="24"/>
              </w:rPr>
            </w:pPr>
          </w:p>
        </w:tc>
        <w:tc>
          <w:tcPr>
            <w:tcW w:w="1337" w:type="dxa"/>
            <w:vAlign w:val="center"/>
          </w:tcPr>
          <w:p>
            <w:pPr>
              <w:topLinePunct/>
              <w:jc w:val="center"/>
              <w:rPr>
                <w:rFonts w:cs="宋体" w:asciiTheme="majorEastAsia" w:hAnsiTheme="majorEastAsia" w:eastAsiaTheme="majorEastAsia"/>
                <w:sz w:val="24"/>
                <w:szCs w:val="24"/>
              </w:rPr>
            </w:pPr>
          </w:p>
        </w:tc>
        <w:tc>
          <w:tcPr>
            <w:tcW w:w="1405" w:type="dxa"/>
          </w:tcPr>
          <w:p>
            <w:pPr>
              <w:topLinePunct/>
              <w:jc w:val="center"/>
              <w:rPr>
                <w:rFonts w:cs="宋体" w:asciiTheme="majorEastAsia" w:hAnsiTheme="majorEastAsia" w:eastAsiaTheme="majorEastAsia"/>
                <w:sz w:val="24"/>
                <w:szCs w:val="24"/>
              </w:rPr>
            </w:pPr>
          </w:p>
        </w:tc>
        <w:tc>
          <w:tcPr>
            <w:tcW w:w="696" w:type="dxa"/>
            <w:vAlign w:val="center"/>
          </w:tcPr>
          <w:p>
            <w:pPr>
              <w:topLinePunct/>
              <w:jc w:val="center"/>
              <w:rPr>
                <w:rFonts w:cs="宋体" w:asciiTheme="majorEastAsia" w:hAnsiTheme="majorEastAsia" w:eastAsiaTheme="majorEastAsia"/>
                <w:sz w:val="24"/>
                <w:szCs w:val="24"/>
              </w:rPr>
            </w:pPr>
          </w:p>
        </w:tc>
        <w:tc>
          <w:tcPr>
            <w:tcW w:w="586" w:type="dxa"/>
            <w:vAlign w:val="center"/>
          </w:tcPr>
          <w:p>
            <w:pPr>
              <w:topLinePunct/>
              <w:jc w:val="center"/>
              <w:rPr>
                <w:rFonts w:cs="宋体" w:asciiTheme="majorEastAsia" w:hAnsiTheme="majorEastAsia" w:eastAsiaTheme="majorEastAsia"/>
                <w:sz w:val="24"/>
                <w:szCs w:val="24"/>
              </w:rPr>
            </w:pPr>
          </w:p>
        </w:tc>
        <w:tc>
          <w:tcPr>
            <w:tcW w:w="710" w:type="dxa"/>
            <w:vAlign w:val="center"/>
          </w:tcPr>
          <w:p>
            <w:pPr>
              <w:topLinePunct/>
              <w:jc w:val="center"/>
              <w:rPr>
                <w:rFonts w:cs="宋体" w:asciiTheme="majorEastAsia" w:hAnsiTheme="majorEastAsia" w:eastAsiaTheme="majorEastAsia"/>
                <w:sz w:val="24"/>
                <w:szCs w:val="24"/>
              </w:rPr>
            </w:pPr>
          </w:p>
        </w:tc>
        <w:tc>
          <w:tcPr>
            <w:tcW w:w="1546" w:type="dxa"/>
            <w:vAlign w:val="center"/>
          </w:tcPr>
          <w:p>
            <w:pPr>
              <w:topLinePun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8"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849" w:type="dxa"/>
            <w:vAlign w:val="center"/>
          </w:tcPr>
          <w:p>
            <w:pPr>
              <w:topLinePunct/>
              <w:jc w:val="center"/>
              <w:rPr>
                <w:rFonts w:cs="宋体" w:asciiTheme="majorEastAsia" w:hAnsiTheme="majorEastAsia" w:eastAsiaTheme="majorEastAsia"/>
                <w:sz w:val="24"/>
                <w:szCs w:val="24"/>
              </w:rPr>
            </w:pPr>
          </w:p>
        </w:tc>
        <w:tc>
          <w:tcPr>
            <w:tcW w:w="1483" w:type="dxa"/>
            <w:vAlign w:val="center"/>
          </w:tcPr>
          <w:p>
            <w:pPr>
              <w:topLinePunct/>
              <w:jc w:val="center"/>
              <w:rPr>
                <w:rFonts w:cs="宋体" w:asciiTheme="majorEastAsia" w:hAnsiTheme="majorEastAsia" w:eastAsiaTheme="majorEastAsia"/>
                <w:sz w:val="24"/>
                <w:szCs w:val="24"/>
              </w:rPr>
            </w:pPr>
          </w:p>
        </w:tc>
        <w:tc>
          <w:tcPr>
            <w:tcW w:w="1337" w:type="dxa"/>
            <w:vAlign w:val="center"/>
          </w:tcPr>
          <w:p>
            <w:pPr>
              <w:topLinePunct/>
              <w:jc w:val="center"/>
              <w:rPr>
                <w:rFonts w:cs="宋体" w:asciiTheme="majorEastAsia" w:hAnsiTheme="majorEastAsia" w:eastAsiaTheme="majorEastAsia"/>
                <w:sz w:val="24"/>
                <w:szCs w:val="24"/>
              </w:rPr>
            </w:pPr>
          </w:p>
        </w:tc>
        <w:tc>
          <w:tcPr>
            <w:tcW w:w="1405" w:type="dxa"/>
          </w:tcPr>
          <w:p>
            <w:pPr>
              <w:topLinePunct/>
              <w:jc w:val="center"/>
              <w:rPr>
                <w:rFonts w:cs="宋体" w:asciiTheme="majorEastAsia" w:hAnsiTheme="majorEastAsia" w:eastAsiaTheme="majorEastAsia"/>
                <w:sz w:val="24"/>
                <w:szCs w:val="24"/>
              </w:rPr>
            </w:pPr>
          </w:p>
        </w:tc>
        <w:tc>
          <w:tcPr>
            <w:tcW w:w="696" w:type="dxa"/>
            <w:vAlign w:val="center"/>
          </w:tcPr>
          <w:p>
            <w:pPr>
              <w:topLinePunct/>
              <w:jc w:val="center"/>
              <w:rPr>
                <w:rFonts w:cs="宋体" w:asciiTheme="majorEastAsia" w:hAnsiTheme="majorEastAsia" w:eastAsiaTheme="majorEastAsia"/>
                <w:sz w:val="24"/>
                <w:szCs w:val="24"/>
              </w:rPr>
            </w:pPr>
          </w:p>
        </w:tc>
        <w:tc>
          <w:tcPr>
            <w:tcW w:w="586" w:type="dxa"/>
            <w:vAlign w:val="center"/>
          </w:tcPr>
          <w:p>
            <w:pPr>
              <w:topLinePunct/>
              <w:jc w:val="center"/>
              <w:rPr>
                <w:rFonts w:cs="宋体" w:asciiTheme="majorEastAsia" w:hAnsiTheme="majorEastAsia" w:eastAsiaTheme="majorEastAsia"/>
                <w:sz w:val="24"/>
                <w:szCs w:val="24"/>
              </w:rPr>
            </w:pPr>
          </w:p>
        </w:tc>
        <w:tc>
          <w:tcPr>
            <w:tcW w:w="710" w:type="dxa"/>
            <w:vAlign w:val="center"/>
          </w:tcPr>
          <w:p>
            <w:pPr>
              <w:topLinePunct/>
              <w:jc w:val="center"/>
              <w:rPr>
                <w:rFonts w:cs="宋体" w:asciiTheme="majorEastAsia" w:hAnsiTheme="majorEastAsia" w:eastAsiaTheme="majorEastAsia"/>
                <w:sz w:val="24"/>
                <w:szCs w:val="24"/>
              </w:rPr>
            </w:pPr>
          </w:p>
        </w:tc>
        <w:tc>
          <w:tcPr>
            <w:tcW w:w="1546" w:type="dxa"/>
            <w:vAlign w:val="center"/>
          </w:tcPr>
          <w:p>
            <w:pPr>
              <w:topLinePun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8"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c>
          <w:tcPr>
            <w:tcW w:w="849" w:type="dxa"/>
            <w:vAlign w:val="center"/>
          </w:tcPr>
          <w:p>
            <w:pPr>
              <w:topLinePunct/>
              <w:jc w:val="center"/>
              <w:rPr>
                <w:rFonts w:cs="宋体" w:asciiTheme="majorEastAsia" w:hAnsiTheme="majorEastAsia" w:eastAsiaTheme="majorEastAsia"/>
                <w:sz w:val="24"/>
                <w:szCs w:val="24"/>
              </w:rPr>
            </w:pPr>
          </w:p>
        </w:tc>
        <w:tc>
          <w:tcPr>
            <w:tcW w:w="1483" w:type="dxa"/>
            <w:vAlign w:val="center"/>
          </w:tcPr>
          <w:p>
            <w:pPr>
              <w:topLinePunct/>
              <w:jc w:val="center"/>
              <w:rPr>
                <w:rFonts w:cs="宋体" w:asciiTheme="majorEastAsia" w:hAnsiTheme="majorEastAsia" w:eastAsiaTheme="majorEastAsia"/>
                <w:sz w:val="24"/>
                <w:szCs w:val="24"/>
              </w:rPr>
            </w:pPr>
          </w:p>
        </w:tc>
        <w:tc>
          <w:tcPr>
            <w:tcW w:w="1337" w:type="dxa"/>
            <w:vAlign w:val="center"/>
          </w:tcPr>
          <w:p>
            <w:pPr>
              <w:topLinePunct/>
              <w:jc w:val="center"/>
              <w:rPr>
                <w:rFonts w:cs="宋体" w:asciiTheme="majorEastAsia" w:hAnsiTheme="majorEastAsia" w:eastAsiaTheme="majorEastAsia"/>
                <w:sz w:val="24"/>
                <w:szCs w:val="24"/>
              </w:rPr>
            </w:pPr>
          </w:p>
        </w:tc>
        <w:tc>
          <w:tcPr>
            <w:tcW w:w="1405" w:type="dxa"/>
          </w:tcPr>
          <w:p>
            <w:pPr>
              <w:topLinePunct/>
              <w:jc w:val="center"/>
              <w:rPr>
                <w:rFonts w:cs="宋体" w:asciiTheme="majorEastAsia" w:hAnsiTheme="majorEastAsia" w:eastAsiaTheme="majorEastAsia"/>
                <w:sz w:val="24"/>
                <w:szCs w:val="24"/>
              </w:rPr>
            </w:pPr>
          </w:p>
        </w:tc>
        <w:tc>
          <w:tcPr>
            <w:tcW w:w="696" w:type="dxa"/>
            <w:vAlign w:val="center"/>
          </w:tcPr>
          <w:p>
            <w:pPr>
              <w:topLinePunct/>
              <w:jc w:val="center"/>
              <w:rPr>
                <w:rFonts w:cs="宋体" w:asciiTheme="majorEastAsia" w:hAnsiTheme="majorEastAsia" w:eastAsiaTheme="majorEastAsia"/>
                <w:sz w:val="24"/>
                <w:szCs w:val="24"/>
              </w:rPr>
            </w:pPr>
          </w:p>
        </w:tc>
        <w:tc>
          <w:tcPr>
            <w:tcW w:w="586" w:type="dxa"/>
            <w:vAlign w:val="center"/>
          </w:tcPr>
          <w:p>
            <w:pPr>
              <w:topLinePunct/>
              <w:jc w:val="center"/>
              <w:rPr>
                <w:rFonts w:cs="宋体" w:asciiTheme="majorEastAsia" w:hAnsiTheme="majorEastAsia" w:eastAsiaTheme="majorEastAsia"/>
                <w:sz w:val="24"/>
                <w:szCs w:val="24"/>
              </w:rPr>
            </w:pPr>
          </w:p>
        </w:tc>
        <w:tc>
          <w:tcPr>
            <w:tcW w:w="710" w:type="dxa"/>
            <w:vAlign w:val="center"/>
          </w:tcPr>
          <w:p>
            <w:pPr>
              <w:topLinePunct/>
              <w:jc w:val="center"/>
              <w:rPr>
                <w:rFonts w:cs="宋体" w:asciiTheme="majorEastAsia" w:hAnsiTheme="majorEastAsia" w:eastAsiaTheme="majorEastAsia"/>
                <w:sz w:val="24"/>
                <w:szCs w:val="24"/>
              </w:rPr>
            </w:pPr>
          </w:p>
        </w:tc>
        <w:tc>
          <w:tcPr>
            <w:tcW w:w="1546" w:type="dxa"/>
            <w:vAlign w:val="center"/>
          </w:tcPr>
          <w:p>
            <w:pPr>
              <w:topLinePun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200" w:type="dxa"/>
            <w:gridSpan w:val="9"/>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强制节能产品总价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8"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849" w:type="dxa"/>
            <w:vAlign w:val="center"/>
          </w:tcPr>
          <w:p>
            <w:pPr>
              <w:topLinePunct/>
              <w:jc w:val="center"/>
              <w:rPr>
                <w:rFonts w:cs="宋体" w:asciiTheme="majorEastAsia" w:hAnsiTheme="majorEastAsia" w:eastAsiaTheme="majorEastAsia"/>
                <w:sz w:val="24"/>
                <w:szCs w:val="24"/>
              </w:rPr>
            </w:pPr>
          </w:p>
        </w:tc>
        <w:tc>
          <w:tcPr>
            <w:tcW w:w="1483" w:type="dxa"/>
            <w:vAlign w:val="center"/>
          </w:tcPr>
          <w:p>
            <w:pPr>
              <w:topLinePunct/>
              <w:jc w:val="center"/>
              <w:rPr>
                <w:rFonts w:cs="宋体" w:asciiTheme="majorEastAsia" w:hAnsiTheme="majorEastAsia" w:eastAsiaTheme="majorEastAsia"/>
                <w:sz w:val="24"/>
                <w:szCs w:val="24"/>
              </w:rPr>
            </w:pPr>
          </w:p>
        </w:tc>
        <w:tc>
          <w:tcPr>
            <w:tcW w:w="1337" w:type="dxa"/>
            <w:vAlign w:val="center"/>
          </w:tcPr>
          <w:p>
            <w:pPr>
              <w:topLinePunct/>
              <w:jc w:val="center"/>
              <w:rPr>
                <w:rFonts w:cs="宋体" w:asciiTheme="majorEastAsia" w:hAnsiTheme="majorEastAsia" w:eastAsiaTheme="majorEastAsia"/>
                <w:sz w:val="24"/>
                <w:szCs w:val="24"/>
              </w:rPr>
            </w:pPr>
          </w:p>
        </w:tc>
        <w:tc>
          <w:tcPr>
            <w:tcW w:w="1405" w:type="dxa"/>
          </w:tcPr>
          <w:p>
            <w:pPr>
              <w:topLinePunct/>
              <w:jc w:val="center"/>
              <w:rPr>
                <w:rFonts w:cs="宋体" w:asciiTheme="majorEastAsia" w:hAnsiTheme="majorEastAsia" w:eastAsiaTheme="majorEastAsia"/>
                <w:sz w:val="24"/>
                <w:szCs w:val="24"/>
              </w:rPr>
            </w:pPr>
          </w:p>
        </w:tc>
        <w:tc>
          <w:tcPr>
            <w:tcW w:w="696" w:type="dxa"/>
            <w:vAlign w:val="center"/>
          </w:tcPr>
          <w:p>
            <w:pPr>
              <w:topLinePunct/>
              <w:jc w:val="center"/>
              <w:rPr>
                <w:rFonts w:cs="宋体" w:asciiTheme="majorEastAsia" w:hAnsiTheme="majorEastAsia" w:eastAsiaTheme="majorEastAsia"/>
                <w:sz w:val="24"/>
                <w:szCs w:val="24"/>
              </w:rPr>
            </w:pPr>
          </w:p>
        </w:tc>
        <w:tc>
          <w:tcPr>
            <w:tcW w:w="586" w:type="dxa"/>
            <w:vAlign w:val="center"/>
          </w:tcPr>
          <w:p>
            <w:pPr>
              <w:topLinePunct/>
              <w:jc w:val="center"/>
              <w:rPr>
                <w:rFonts w:cs="宋体" w:asciiTheme="majorEastAsia" w:hAnsiTheme="majorEastAsia" w:eastAsiaTheme="majorEastAsia"/>
                <w:sz w:val="24"/>
                <w:szCs w:val="24"/>
              </w:rPr>
            </w:pPr>
          </w:p>
        </w:tc>
        <w:tc>
          <w:tcPr>
            <w:tcW w:w="710" w:type="dxa"/>
            <w:vAlign w:val="center"/>
          </w:tcPr>
          <w:p>
            <w:pPr>
              <w:topLinePunct/>
              <w:jc w:val="center"/>
              <w:rPr>
                <w:rFonts w:cs="宋体" w:asciiTheme="majorEastAsia" w:hAnsiTheme="majorEastAsia" w:eastAsiaTheme="majorEastAsia"/>
                <w:sz w:val="24"/>
                <w:szCs w:val="24"/>
              </w:rPr>
            </w:pPr>
          </w:p>
        </w:tc>
        <w:tc>
          <w:tcPr>
            <w:tcW w:w="1546" w:type="dxa"/>
            <w:vAlign w:val="center"/>
          </w:tcPr>
          <w:p>
            <w:pPr>
              <w:topLinePun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8"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849" w:type="dxa"/>
            <w:vAlign w:val="center"/>
          </w:tcPr>
          <w:p>
            <w:pPr>
              <w:topLinePunct/>
              <w:jc w:val="center"/>
              <w:rPr>
                <w:rFonts w:cs="宋体" w:asciiTheme="majorEastAsia" w:hAnsiTheme="majorEastAsia" w:eastAsiaTheme="majorEastAsia"/>
                <w:sz w:val="24"/>
                <w:szCs w:val="24"/>
              </w:rPr>
            </w:pPr>
          </w:p>
        </w:tc>
        <w:tc>
          <w:tcPr>
            <w:tcW w:w="1483" w:type="dxa"/>
            <w:vAlign w:val="center"/>
          </w:tcPr>
          <w:p>
            <w:pPr>
              <w:topLinePunct/>
              <w:jc w:val="center"/>
              <w:rPr>
                <w:rFonts w:cs="宋体" w:asciiTheme="majorEastAsia" w:hAnsiTheme="majorEastAsia" w:eastAsiaTheme="majorEastAsia"/>
                <w:sz w:val="24"/>
                <w:szCs w:val="24"/>
              </w:rPr>
            </w:pPr>
          </w:p>
        </w:tc>
        <w:tc>
          <w:tcPr>
            <w:tcW w:w="1337" w:type="dxa"/>
            <w:vAlign w:val="center"/>
          </w:tcPr>
          <w:p>
            <w:pPr>
              <w:topLinePunct/>
              <w:jc w:val="center"/>
              <w:rPr>
                <w:rFonts w:cs="宋体" w:asciiTheme="majorEastAsia" w:hAnsiTheme="majorEastAsia" w:eastAsiaTheme="majorEastAsia"/>
                <w:sz w:val="24"/>
                <w:szCs w:val="24"/>
              </w:rPr>
            </w:pPr>
          </w:p>
        </w:tc>
        <w:tc>
          <w:tcPr>
            <w:tcW w:w="1405" w:type="dxa"/>
          </w:tcPr>
          <w:p>
            <w:pPr>
              <w:topLinePunct/>
              <w:jc w:val="center"/>
              <w:rPr>
                <w:rFonts w:cs="宋体" w:asciiTheme="majorEastAsia" w:hAnsiTheme="majorEastAsia" w:eastAsiaTheme="majorEastAsia"/>
                <w:sz w:val="24"/>
                <w:szCs w:val="24"/>
              </w:rPr>
            </w:pPr>
          </w:p>
        </w:tc>
        <w:tc>
          <w:tcPr>
            <w:tcW w:w="696" w:type="dxa"/>
            <w:vAlign w:val="center"/>
          </w:tcPr>
          <w:p>
            <w:pPr>
              <w:topLinePunct/>
              <w:jc w:val="center"/>
              <w:rPr>
                <w:rFonts w:cs="宋体" w:asciiTheme="majorEastAsia" w:hAnsiTheme="majorEastAsia" w:eastAsiaTheme="majorEastAsia"/>
                <w:sz w:val="24"/>
                <w:szCs w:val="24"/>
              </w:rPr>
            </w:pPr>
          </w:p>
        </w:tc>
        <w:tc>
          <w:tcPr>
            <w:tcW w:w="586" w:type="dxa"/>
            <w:vAlign w:val="center"/>
          </w:tcPr>
          <w:p>
            <w:pPr>
              <w:topLinePunct/>
              <w:jc w:val="center"/>
              <w:rPr>
                <w:rFonts w:cs="宋体" w:asciiTheme="majorEastAsia" w:hAnsiTheme="majorEastAsia" w:eastAsiaTheme="majorEastAsia"/>
                <w:sz w:val="24"/>
                <w:szCs w:val="24"/>
              </w:rPr>
            </w:pPr>
          </w:p>
        </w:tc>
        <w:tc>
          <w:tcPr>
            <w:tcW w:w="710" w:type="dxa"/>
            <w:vAlign w:val="center"/>
          </w:tcPr>
          <w:p>
            <w:pPr>
              <w:topLinePunct/>
              <w:jc w:val="center"/>
              <w:rPr>
                <w:rFonts w:cs="宋体" w:asciiTheme="majorEastAsia" w:hAnsiTheme="majorEastAsia" w:eastAsiaTheme="majorEastAsia"/>
                <w:sz w:val="24"/>
                <w:szCs w:val="24"/>
              </w:rPr>
            </w:pPr>
          </w:p>
        </w:tc>
        <w:tc>
          <w:tcPr>
            <w:tcW w:w="1546" w:type="dxa"/>
            <w:vAlign w:val="center"/>
          </w:tcPr>
          <w:p>
            <w:pPr>
              <w:topLinePun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88" w:type="dxa"/>
            <w:vAlign w:val="center"/>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c>
          <w:tcPr>
            <w:tcW w:w="849" w:type="dxa"/>
            <w:vAlign w:val="center"/>
          </w:tcPr>
          <w:p>
            <w:pPr>
              <w:topLinePunct/>
              <w:jc w:val="center"/>
              <w:rPr>
                <w:rFonts w:cs="宋体" w:asciiTheme="majorEastAsia" w:hAnsiTheme="majorEastAsia" w:eastAsiaTheme="majorEastAsia"/>
                <w:sz w:val="24"/>
                <w:szCs w:val="24"/>
              </w:rPr>
            </w:pPr>
          </w:p>
        </w:tc>
        <w:tc>
          <w:tcPr>
            <w:tcW w:w="1483" w:type="dxa"/>
            <w:vAlign w:val="center"/>
          </w:tcPr>
          <w:p>
            <w:pPr>
              <w:topLinePunct/>
              <w:jc w:val="center"/>
              <w:rPr>
                <w:rFonts w:cs="宋体" w:asciiTheme="majorEastAsia" w:hAnsiTheme="majorEastAsia" w:eastAsiaTheme="majorEastAsia"/>
                <w:sz w:val="24"/>
                <w:szCs w:val="24"/>
              </w:rPr>
            </w:pPr>
          </w:p>
        </w:tc>
        <w:tc>
          <w:tcPr>
            <w:tcW w:w="1337" w:type="dxa"/>
            <w:vAlign w:val="center"/>
          </w:tcPr>
          <w:p>
            <w:pPr>
              <w:topLinePunct/>
              <w:jc w:val="center"/>
              <w:rPr>
                <w:rFonts w:cs="宋体" w:asciiTheme="majorEastAsia" w:hAnsiTheme="majorEastAsia" w:eastAsiaTheme="majorEastAsia"/>
                <w:sz w:val="24"/>
                <w:szCs w:val="24"/>
              </w:rPr>
            </w:pPr>
          </w:p>
        </w:tc>
        <w:tc>
          <w:tcPr>
            <w:tcW w:w="1405" w:type="dxa"/>
          </w:tcPr>
          <w:p>
            <w:pPr>
              <w:topLinePunct/>
              <w:jc w:val="center"/>
              <w:rPr>
                <w:rFonts w:cs="宋体" w:asciiTheme="majorEastAsia" w:hAnsiTheme="majorEastAsia" w:eastAsiaTheme="majorEastAsia"/>
                <w:sz w:val="24"/>
                <w:szCs w:val="24"/>
              </w:rPr>
            </w:pPr>
          </w:p>
        </w:tc>
        <w:tc>
          <w:tcPr>
            <w:tcW w:w="696" w:type="dxa"/>
            <w:vAlign w:val="center"/>
          </w:tcPr>
          <w:p>
            <w:pPr>
              <w:topLinePunct/>
              <w:jc w:val="center"/>
              <w:rPr>
                <w:rFonts w:cs="宋体" w:asciiTheme="majorEastAsia" w:hAnsiTheme="majorEastAsia" w:eastAsiaTheme="majorEastAsia"/>
                <w:sz w:val="24"/>
                <w:szCs w:val="24"/>
              </w:rPr>
            </w:pPr>
          </w:p>
        </w:tc>
        <w:tc>
          <w:tcPr>
            <w:tcW w:w="586" w:type="dxa"/>
            <w:vAlign w:val="center"/>
          </w:tcPr>
          <w:p>
            <w:pPr>
              <w:topLinePunct/>
              <w:jc w:val="center"/>
              <w:rPr>
                <w:rFonts w:cs="宋体" w:asciiTheme="majorEastAsia" w:hAnsiTheme="majorEastAsia" w:eastAsiaTheme="majorEastAsia"/>
                <w:sz w:val="24"/>
                <w:szCs w:val="24"/>
              </w:rPr>
            </w:pPr>
          </w:p>
        </w:tc>
        <w:tc>
          <w:tcPr>
            <w:tcW w:w="710" w:type="dxa"/>
            <w:vAlign w:val="center"/>
          </w:tcPr>
          <w:p>
            <w:pPr>
              <w:topLinePunct/>
              <w:jc w:val="center"/>
              <w:rPr>
                <w:rFonts w:cs="宋体" w:asciiTheme="majorEastAsia" w:hAnsiTheme="majorEastAsia" w:eastAsiaTheme="majorEastAsia"/>
                <w:sz w:val="24"/>
                <w:szCs w:val="24"/>
              </w:rPr>
            </w:pPr>
          </w:p>
        </w:tc>
        <w:tc>
          <w:tcPr>
            <w:tcW w:w="1546" w:type="dxa"/>
            <w:vAlign w:val="center"/>
          </w:tcPr>
          <w:p>
            <w:pPr>
              <w:topLinePun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00" w:type="dxa"/>
            <w:gridSpan w:val="9"/>
          </w:tcPr>
          <w:p>
            <w:pPr>
              <w:topLinePun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不含强制节能产品外的节能货物总价</w:t>
            </w:r>
          </w:p>
        </w:tc>
      </w:tr>
    </w:tbl>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说明：1、节能产品是指中国政府采购网发布的最新目录内的产品，并附截图。</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2、表中内容为本次采购中涉及的证书有效期内的节能产品。</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3、如所投产品为节能产品，应当按规定格式逐项填写。如所投产品不是节能产品，则不需填写本表。</w:t>
      </w:r>
    </w:p>
    <w:p>
      <w:pPr>
        <w:pStyle w:val="55"/>
        <w:ind w:left="0" w:leftChars="0" w:firstLine="0" w:firstLineChars="0"/>
        <w:rPr>
          <w:rFonts w:cs="仿宋" w:asciiTheme="majorEastAsia" w:hAnsiTheme="majorEastAsia" w:eastAsiaTheme="majorEastAsia"/>
          <w:b/>
          <w:bCs/>
          <w:sz w:val="28"/>
          <w:szCs w:val="28"/>
        </w:rPr>
      </w:pPr>
    </w:p>
    <w:p>
      <w:pPr>
        <w:spacing w:line="360" w:lineRule="auto"/>
        <w:ind w:firstLine="480"/>
        <w:rPr>
          <w:rFonts w:asciiTheme="majorEastAsia" w:hAnsiTheme="majorEastAsia" w:eastAsiaTheme="majorEastAsia"/>
          <w:sz w:val="24"/>
        </w:rPr>
      </w:pPr>
      <w:r>
        <w:rPr>
          <w:rFonts w:hint="eastAsia" w:asciiTheme="majorEastAsia" w:hAnsiTheme="majorEastAsia" w:eastAsiaTheme="majorEastAsia"/>
          <w:sz w:val="24"/>
        </w:rPr>
        <w:t>供应商 （公章）：</w:t>
      </w:r>
    </w:p>
    <w:p>
      <w:pPr>
        <w:spacing w:line="360" w:lineRule="auto"/>
        <w:ind w:firstLine="240" w:firstLineChars="100"/>
        <w:rPr>
          <w:rFonts w:asciiTheme="majorEastAsia" w:hAnsiTheme="majorEastAsia" w:eastAsiaTheme="majorEastAsia"/>
          <w:sz w:val="28"/>
          <w:szCs w:val="28"/>
        </w:rPr>
      </w:pPr>
      <w:r>
        <w:rPr>
          <w:rFonts w:hint="eastAsia" w:asciiTheme="majorEastAsia" w:hAnsiTheme="majorEastAsia" w:eastAsiaTheme="majorEastAsia"/>
          <w:sz w:val="24"/>
        </w:rPr>
        <w:t xml:space="preserve">  法定代表人或供应商全权代表：（签字或印章）</w:t>
      </w:r>
      <w:r>
        <w:rPr>
          <w:rFonts w:hint="eastAsia" w:asciiTheme="majorEastAsia" w:hAnsiTheme="majorEastAsia" w:eastAsiaTheme="majorEastAsia"/>
          <w:sz w:val="28"/>
          <w:szCs w:val="28"/>
        </w:rPr>
        <w:t xml:space="preserve">   </w:t>
      </w:r>
    </w:p>
    <w:p>
      <w:pPr>
        <w:spacing w:line="360" w:lineRule="auto"/>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年   月   日</w:t>
      </w:r>
    </w:p>
    <w:p>
      <w:pPr>
        <w:pStyle w:val="55"/>
        <w:ind w:left="0" w:leftChars="0" w:firstLine="0" w:firstLineChars="0"/>
        <w:rPr>
          <w:rFonts w:cs="仿宋" w:asciiTheme="majorEastAsia" w:hAnsiTheme="majorEastAsia" w:eastAsiaTheme="majorEastAsia"/>
          <w:b/>
          <w:bCs/>
          <w:sz w:val="28"/>
          <w:szCs w:val="28"/>
        </w:rPr>
      </w:pPr>
    </w:p>
    <w:p>
      <w:pPr>
        <w:spacing w:line="460" w:lineRule="exact"/>
        <w:jc w:val="left"/>
        <w:rPr>
          <w:rFonts w:cs="仿宋" w:asciiTheme="majorEastAsia" w:hAnsiTheme="majorEastAsia" w:eastAsiaTheme="majorEastAsia"/>
          <w:b/>
          <w:bCs/>
          <w:sz w:val="28"/>
          <w:szCs w:val="28"/>
        </w:rPr>
      </w:pPr>
    </w:p>
    <w:p>
      <w:pPr>
        <w:pStyle w:val="5"/>
        <w:rPr>
          <w:rFonts w:cs="仿宋" w:asciiTheme="majorEastAsia" w:hAnsiTheme="majorEastAsia" w:eastAsiaTheme="majorEastAsia"/>
          <w:bCs/>
          <w:sz w:val="28"/>
          <w:szCs w:val="28"/>
        </w:rPr>
      </w:pPr>
    </w:p>
    <w:p>
      <w:pPr>
        <w:rPr>
          <w:rFonts w:asciiTheme="majorEastAsia" w:hAnsiTheme="majorEastAsia" w:eastAsiaTheme="majorEastAsia"/>
        </w:rPr>
      </w:pPr>
    </w:p>
    <w:p>
      <w:pPr>
        <w:spacing w:line="460" w:lineRule="exact"/>
        <w:jc w:val="left"/>
        <w:rPr>
          <w:rFonts w:cs="仿宋" w:asciiTheme="majorEastAsia" w:hAnsiTheme="majorEastAsia" w:eastAsiaTheme="majorEastAsia"/>
          <w:b/>
          <w:bCs/>
          <w:sz w:val="28"/>
          <w:szCs w:val="28"/>
        </w:rPr>
      </w:pPr>
    </w:p>
    <w:p>
      <w:pPr>
        <w:spacing w:line="460" w:lineRule="exact"/>
        <w:jc w:val="left"/>
        <w:rPr>
          <w:rFonts w:cs="宋体" w:asciiTheme="majorEastAsia" w:hAnsiTheme="majorEastAsia" w:eastAsiaTheme="majorEastAsia"/>
          <w:kern w:val="0"/>
          <w:sz w:val="24"/>
          <w:szCs w:val="24"/>
        </w:rPr>
      </w:pPr>
    </w:p>
    <w:p>
      <w:pPr>
        <w:spacing w:line="460" w:lineRule="exact"/>
        <w:jc w:val="left"/>
        <w:rPr>
          <w:rFonts w:cs="宋体" w:asciiTheme="majorEastAsia" w:hAnsiTheme="majorEastAsia" w:eastAsiaTheme="majorEastAsia"/>
          <w:kern w:val="0"/>
          <w:sz w:val="24"/>
          <w:szCs w:val="24"/>
        </w:rPr>
      </w:pPr>
    </w:p>
    <w:p>
      <w:pPr>
        <w:spacing w:line="460" w:lineRule="exact"/>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附件十七：</w:t>
      </w:r>
    </w:p>
    <w:p>
      <w:pPr>
        <w:jc w:val="center"/>
        <w:rPr>
          <w:rStyle w:val="59"/>
          <w:rFonts w:cs="宋体" w:asciiTheme="majorEastAsia" w:hAnsiTheme="majorEastAsia" w:eastAsiaTheme="majorEastAsia"/>
          <w:b w:val="0"/>
          <w:sz w:val="32"/>
          <w:szCs w:val="32"/>
        </w:rPr>
      </w:pPr>
    </w:p>
    <w:p>
      <w:pPr>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残疾人福利性单位声明函</w:t>
      </w:r>
    </w:p>
    <w:p>
      <w:pPr>
        <w:jc w:val="center"/>
        <w:rPr>
          <w:rStyle w:val="59"/>
          <w:rFonts w:cs="宋体" w:asciiTheme="majorEastAsia" w:hAnsiTheme="majorEastAsia" w:eastAsiaTheme="majorEastAsia"/>
          <w:b w:val="0"/>
          <w:sz w:val="32"/>
          <w:szCs w:val="32"/>
        </w:rPr>
      </w:pPr>
    </w:p>
    <w:p>
      <w:pPr>
        <w:spacing w:line="360" w:lineRule="auto"/>
        <w:ind w:firstLine="504" w:firstLineChars="200"/>
        <w:rPr>
          <w:rFonts w:cs="宋体" w:asciiTheme="majorEastAsia" w:hAnsiTheme="majorEastAsia" w:eastAsiaTheme="majorEastAsia"/>
          <w:spacing w:val="6"/>
          <w:sz w:val="24"/>
          <w:szCs w:val="24"/>
        </w:rPr>
      </w:pPr>
      <w:r>
        <w:rPr>
          <w:rFonts w:hint="eastAsia" w:cs="宋体" w:asciiTheme="majorEastAsia" w:hAnsiTheme="majorEastAsia" w:eastAsiaTheme="majorEastAsia"/>
          <w:spacing w:val="6"/>
          <w:sz w:val="24"/>
          <w:szCs w:val="24"/>
        </w:rPr>
        <w:t>本单位郑重声明，根据《财政部 民政部 中国残疾人联合会关于促进残疾人就业政府采购政策的通知》（财库</w:t>
      </w:r>
      <w:r>
        <w:rPr>
          <w:rFonts w:hint="eastAsia" w:cs="宋体" w:asciiTheme="majorEastAsia" w:hAnsiTheme="majorEastAsia" w:eastAsiaTheme="majorEastAsia"/>
          <w:sz w:val="24"/>
          <w:szCs w:val="24"/>
        </w:rPr>
        <w:t>〔2017〕 141</w:t>
      </w:r>
      <w:r>
        <w:rPr>
          <w:rFonts w:hint="eastAsia" w:cs="宋体" w:asciiTheme="majorEastAsia" w:hAnsiTheme="majorEastAsia" w:eastAsiaTheme="major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cs="宋体" w:asciiTheme="majorEastAsia" w:hAnsiTheme="majorEastAsia" w:eastAsiaTheme="majorEastAsia"/>
          <w:spacing w:val="6"/>
          <w:sz w:val="24"/>
          <w:szCs w:val="24"/>
        </w:rPr>
      </w:pPr>
      <w:r>
        <w:rPr>
          <w:rFonts w:hint="eastAsia" w:cs="宋体" w:asciiTheme="majorEastAsia" w:hAnsiTheme="majorEastAsia" w:eastAsiaTheme="majorEastAsia"/>
          <w:spacing w:val="6"/>
          <w:sz w:val="24"/>
          <w:szCs w:val="24"/>
        </w:rPr>
        <w:t>本单位对上述声明的真实性负责。如有虚假，将依法承担相应责任。</w:t>
      </w:r>
    </w:p>
    <w:p>
      <w:pPr>
        <w:spacing w:line="360" w:lineRule="auto"/>
        <w:ind w:firstLine="504" w:firstLineChars="200"/>
        <w:rPr>
          <w:rFonts w:cs="宋体" w:asciiTheme="majorEastAsia" w:hAnsiTheme="majorEastAsia" w:eastAsiaTheme="majorEastAsia"/>
          <w:spacing w:val="6"/>
          <w:sz w:val="24"/>
          <w:szCs w:val="24"/>
        </w:rPr>
      </w:pPr>
    </w:p>
    <w:p>
      <w:pPr>
        <w:spacing w:line="360" w:lineRule="auto"/>
        <w:ind w:firstLine="504" w:firstLineChars="200"/>
        <w:rPr>
          <w:rFonts w:cs="宋体" w:asciiTheme="majorEastAsia" w:hAnsiTheme="majorEastAsia" w:eastAsiaTheme="majorEastAsia"/>
          <w:spacing w:val="6"/>
          <w:sz w:val="24"/>
          <w:szCs w:val="24"/>
        </w:rPr>
      </w:pPr>
    </w:p>
    <w:p>
      <w:pPr>
        <w:tabs>
          <w:tab w:val="left" w:pos="4860"/>
        </w:tabs>
        <w:spacing w:line="360" w:lineRule="auto"/>
        <w:ind w:right="1560" w:firstLine="504" w:firstLineChars="200"/>
        <w:jc w:val="center"/>
        <w:rPr>
          <w:rFonts w:cs="宋体" w:asciiTheme="majorEastAsia" w:hAnsiTheme="majorEastAsia" w:eastAsiaTheme="majorEastAsia"/>
          <w:spacing w:val="6"/>
          <w:sz w:val="24"/>
          <w:szCs w:val="24"/>
        </w:rPr>
      </w:pPr>
      <w:r>
        <w:rPr>
          <w:rFonts w:hint="eastAsia" w:cs="宋体" w:asciiTheme="majorEastAsia" w:hAnsiTheme="majorEastAsia" w:eastAsiaTheme="majorEastAsia"/>
          <w:spacing w:val="6"/>
          <w:sz w:val="24"/>
          <w:szCs w:val="24"/>
        </w:rPr>
        <w:t xml:space="preserve">               单位名称（盖章）：</w:t>
      </w:r>
    </w:p>
    <w:p>
      <w:pPr>
        <w:spacing w:line="360" w:lineRule="auto"/>
        <w:jc w:val="left"/>
        <w:rPr>
          <w:rFonts w:cs="宋体" w:asciiTheme="majorEastAsia" w:hAnsiTheme="majorEastAsia" w:eastAsiaTheme="majorEastAsia"/>
          <w:spacing w:val="6"/>
          <w:sz w:val="24"/>
          <w:szCs w:val="24"/>
        </w:rPr>
      </w:pPr>
      <w:r>
        <w:rPr>
          <w:rFonts w:hint="eastAsia" w:cs="宋体" w:asciiTheme="majorEastAsia" w:hAnsiTheme="majorEastAsia" w:eastAsiaTheme="majorEastAsia"/>
          <w:spacing w:val="6"/>
          <w:sz w:val="24"/>
          <w:szCs w:val="24"/>
        </w:rPr>
        <w:t xml:space="preserve">                                日  期：</w:t>
      </w:r>
    </w:p>
    <w:p>
      <w:pPr>
        <w:pStyle w:val="55"/>
        <w:ind w:firstLine="624"/>
        <w:rPr>
          <w:rFonts w:asciiTheme="majorEastAsia" w:hAnsiTheme="majorEastAsia" w:eastAsiaTheme="majorEastAsia"/>
          <w:spacing w:val="6"/>
          <w:sz w:val="30"/>
          <w:szCs w:val="30"/>
        </w:rPr>
      </w:pPr>
    </w:p>
    <w:p>
      <w:pPr>
        <w:spacing w:line="480" w:lineRule="exact"/>
        <w:rPr>
          <w:rFonts w:asciiTheme="majorEastAsia" w:hAnsiTheme="majorEastAsia" w:eastAsiaTheme="majorEastAsia"/>
          <w:sz w:val="24"/>
          <w:szCs w:val="24"/>
        </w:rPr>
      </w:pPr>
    </w:p>
    <w:p>
      <w:pPr>
        <w:spacing w:line="480" w:lineRule="exact"/>
        <w:rPr>
          <w:rFonts w:cs="宋体" w:asciiTheme="majorEastAsia" w:hAnsiTheme="majorEastAsia" w:eastAsiaTheme="majorEastAsia"/>
          <w:sz w:val="24"/>
          <w:szCs w:val="24"/>
        </w:rPr>
      </w:pPr>
    </w:p>
    <w:p>
      <w:pPr>
        <w:spacing w:line="480" w:lineRule="exact"/>
        <w:rPr>
          <w:rFonts w:cs="宋体" w:asciiTheme="majorEastAsia" w:hAnsiTheme="majorEastAsia" w:eastAsiaTheme="majorEastAsia"/>
          <w:sz w:val="24"/>
          <w:szCs w:val="24"/>
        </w:rPr>
      </w:pPr>
    </w:p>
    <w:p>
      <w:pPr>
        <w:spacing w:line="480" w:lineRule="exact"/>
        <w:rPr>
          <w:rFonts w:cs="宋体" w:asciiTheme="majorEastAsia" w:hAnsiTheme="majorEastAsia" w:eastAsiaTheme="majorEastAsia"/>
          <w:sz w:val="24"/>
          <w:szCs w:val="24"/>
        </w:rPr>
      </w:pPr>
    </w:p>
    <w:p>
      <w:pPr>
        <w:spacing w:line="480" w:lineRule="exact"/>
        <w:rPr>
          <w:rFonts w:cs="宋体" w:asciiTheme="majorEastAsia" w:hAnsiTheme="majorEastAsia" w:eastAsiaTheme="majorEastAsia"/>
          <w:sz w:val="24"/>
          <w:szCs w:val="24"/>
        </w:rPr>
      </w:pPr>
    </w:p>
    <w:p>
      <w:pPr>
        <w:spacing w:line="480" w:lineRule="exact"/>
        <w:rPr>
          <w:rFonts w:cs="宋体" w:asciiTheme="majorEastAsia" w:hAnsiTheme="majorEastAsia" w:eastAsiaTheme="majorEastAsia"/>
          <w:sz w:val="24"/>
          <w:szCs w:val="24"/>
        </w:rPr>
      </w:pPr>
    </w:p>
    <w:p>
      <w:pPr>
        <w:spacing w:line="480" w:lineRule="exact"/>
        <w:rPr>
          <w:rFonts w:cs="宋体" w:asciiTheme="majorEastAsia" w:hAnsiTheme="majorEastAsia" w:eastAsiaTheme="majorEastAsia"/>
          <w:sz w:val="24"/>
          <w:szCs w:val="24"/>
        </w:rPr>
      </w:pPr>
    </w:p>
    <w:p>
      <w:pPr>
        <w:spacing w:line="480" w:lineRule="exact"/>
        <w:rPr>
          <w:rFonts w:cs="宋体" w:asciiTheme="majorEastAsia" w:hAnsiTheme="majorEastAsia" w:eastAsiaTheme="majorEastAsia"/>
          <w:sz w:val="24"/>
          <w:szCs w:val="24"/>
        </w:rPr>
      </w:pPr>
    </w:p>
    <w:p>
      <w:pPr>
        <w:spacing w:line="480" w:lineRule="exact"/>
        <w:rPr>
          <w:rFonts w:cs="宋体" w:asciiTheme="majorEastAsia" w:hAnsiTheme="majorEastAsia" w:eastAsiaTheme="majorEastAsia"/>
          <w:sz w:val="24"/>
          <w:szCs w:val="24"/>
        </w:rPr>
      </w:pPr>
    </w:p>
    <w:p>
      <w:pPr>
        <w:spacing w:line="480" w:lineRule="exact"/>
        <w:rPr>
          <w:rFonts w:cs="宋体" w:asciiTheme="majorEastAsia" w:hAnsiTheme="majorEastAsia" w:eastAsiaTheme="majorEastAsia"/>
          <w:sz w:val="24"/>
          <w:szCs w:val="24"/>
        </w:rPr>
      </w:pPr>
    </w:p>
    <w:p>
      <w:pPr>
        <w:spacing w:line="480" w:lineRule="exact"/>
        <w:rPr>
          <w:rFonts w:cs="宋体" w:asciiTheme="majorEastAsia" w:hAnsiTheme="majorEastAsia" w:eastAsiaTheme="majorEastAsia"/>
          <w:sz w:val="24"/>
          <w:szCs w:val="24"/>
        </w:rPr>
      </w:pPr>
    </w:p>
    <w:p>
      <w:pPr>
        <w:spacing w:line="480" w:lineRule="exact"/>
        <w:rPr>
          <w:rFonts w:cs="宋体" w:asciiTheme="majorEastAsia" w:hAnsiTheme="majorEastAsia" w:eastAsiaTheme="majorEastAsia"/>
          <w:sz w:val="24"/>
          <w:szCs w:val="24"/>
        </w:rPr>
      </w:pPr>
    </w:p>
    <w:p>
      <w:pPr>
        <w:spacing w:line="480" w:lineRule="exact"/>
        <w:rPr>
          <w:rFonts w:cs="宋体" w:asciiTheme="majorEastAsia" w:hAnsiTheme="majorEastAsia" w:eastAsiaTheme="majorEastAsia"/>
          <w:kern w:val="1"/>
          <w:sz w:val="24"/>
          <w:szCs w:val="24"/>
        </w:rPr>
      </w:pPr>
    </w:p>
    <w:p>
      <w:pPr>
        <w:spacing w:line="460" w:lineRule="exact"/>
        <w:rPr>
          <w:rFonts w:asciiTheme="majorEastAsia" w:hAnsiTheme="majorEastAsia" w:eastAsiaTheme="majorEastAsia"/>
          <w:b/>
          <w:sz w:val="24"/>
          <w:szCs w:val="24"/>
        </w:rPr>
      </w:pPr>
    </w:p>
    <w:p>
      <w:pPr>
        <w:spacing w:line="52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附件十八：</w:t>
      </w:r>
    </w:p>
    <w:p>
      <w:pPr>
        <w:spacing w:line="52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供应商认为有必要提供的其他资料</w:t>
      </w:r>
    </w:p>
    <w:p>
      <w:pPr>
        <w:spacing w:line="520" w:lineRule="exact"/>
        <w:jc w:val="center"/>
        <w:rPr>
          <w:rFonts w:asciiTheme="majorEastAsia" w:hAnsiTheme="majorEastAsia" w:eastAsiaTheme="majorEastAsia"/>
          <w:b/>
          <w:bCs/>
          <w:sz w:val="32"/>
          <w:szCs w:val="32"/>
        </w:rPr>
      </w:pPr>
    </w:p>
    <w:tbl>
      <w:tblPr>
        <w:tblStyle w:val="56"/>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jc w:val="center"/>
        </w:trPr>
        <w:tc>
          <w:tcPr>
            <w:tcW w:w="8120" w:type="dxa"/>
            <w:tcBorders>
              <w:top w:val="single" w:color="auto" w:sz="4" w:space="0"/>
              <w:left w:val="single" w:color="auto" w:sz="4" w:space="0"/>
              <w:right w:val="single" w:color="auto" w:sz="4" w:space="0"/>
            </w:tcBorders>
            <w:vAlign w:val="center"/>
          </w:tcPr>
          <w:p>
            <w:pPr>
              <w:spacing w:line="260" w:lineRule="exact"/>
              <w:rPr>
                <w:rFonts w:asciiTheme="majorEastAsia" w:hAnsiTheme="majorEastAsia" w:eastAsiaTheme="majorEastAsia"/>
                <w:sz w:val="20"/>
              </w:rPr>
            </w:pPr>
          </w:p>
        </w:tc>
      </w:tr>
    </w:tbl>
    <w:p>
      <w:pPr>
        <w:spacing w:line="480" w:lineRule="exact"/>
        <w:rPr>
          <w:rFonts w:asciiTheme="majorEastAsia" w:hAnsiTheme="majorEastAsia" w:eastAsiaTheme="majorEastAsia"/>
          <w:b/>
          <w:bCs/>
          <w:sz w:val="24"/>
        </w:rPr>
      </w:pPr>
    </w:p>
    <w:p>
      <w:pPr>
        <w:spacing w:line="480" w:lineRule="exact"/>
        <w:rPr>
          <w:rFonts w:asciiTheme="majorEastAsia" w:hAnsiTheme="majorEastAsia" w:eastAsiaTheme="majorEastAsia"/>
          <w:b/>
          <w:bCs/>
          <w:sz w:val="24"/>
        </w:rPr>
      </w:pPr>
    </w:p>
    <w:p>
      <w:pPr>
        <w:spacing w:line="480" w:lineRule="exact"/>
        <w:rPr>
          <w:rFonts w:asciiTheme="majorEastAsia" w:hAnsiTheme="majorEastAsia" w:eastAsiaTheme="majorEastAsia"/>
          <w:sz w:val="24"/>
        </w:rPr>
      </w:pPr>
      <w:r>
        <w:rPr>
          <w:rFonts w:hint="eastAsia" w:asciiTheme="majorEastAsia" w:hAnsiTheme="majorEastAsia" w:eastAsiaTheme="majorEastAsia"/>
          <w:sz w:val="24"/>
        </w:rPr>
        <w:t>供应商  （公章）：</w:t>
      </w:r>
    </w:p>
    <w:p>
      <w:pPr>
        <w:tabs>
          <w:tab w:val="left" w:pos="180"/>
          <w:tab w:val="left" w:pos="1800"/>
        </w:tabs>
        <w:spacing w:line="480" w:lineRule="exact"/>
        <w:rPr>
          <w:rFonts w:asciiTheme="majorEastAsia" w:hAnsiTheme="majorEastAsia" w:eastAsiaTheme="majorEastAsia"/>
          <w:sz w:val="24"/>
        </w:rPr>
      </w:pPr>
      <w:r>
        <w:rPr>
          <w:rFonts w:hint="eastAsia" w:asciiTheme="majorEastAsia" w:hAnsiTheme="majorEastAsia" w:eastAsiaTheme="majorEastAsia"/>
          <w:sz w:val="24"/>
        </w:rPr>
        <w:t>法定代表人或供应商全权代表：（签字或印章）</w:t>
      </w:r>
    </w:p>
    <w:p>
      <w:pPr>
        <w:spacing w:line="480" w:lineRule="exact"/>
        <w:rPr>
          <w:rFonts w:asciiTheme="majorEastAsia" w:hAnsiTheme="majorEastAsia" w:eastAsiaTheme="majorEastAsia"/>
          <w:sz w:val="24"/>
        </w:rPr>
      </w:pPr>
    </w:p>
    <w:p>
      <w:pPr>
        <w:spacing w:line="480" w:lineRule="exact"/>
        <w:rPr>
          <w:rFonts w:asciiTheme="majorEastAsia" w:hAnsiTheme="majorEastAsia" w:eastAsiaTheme="majorEastAsia"/>
          <w:sz w:val="24"/>
        </w:rPr>
      </w:pPr>
    </w:p>
    <w:p>
      <w:pPr>
        <w:spacing w:line="480" w:lineRule="exact"/>
        <w:jc w:val="right"/>
        <w:rPr>
          <w:rFonts w:asciiTheme="majorEastAsia" w:hAnsiTheme="majorEastAsia" w:eastAsiaTheme="majorEastAsia"/>
          <w:sz w:val="24"/>
        </w:rPr>
      </w:pPr>
      <w:r>
        <w:rPr>
          <w:rFonts w:hint="eastAsia" w:asciiTheme="majorEastAsia" w:hAnsiTheme="majorEastAsia" w:eastAsiaTheme="majorEastAsia"/>
          <w:sz w:val="24"/>
        </w:rPr>
        <w:t xml:space="preserve">  年   月   日</w:t>
      </w:r>
    </w:p>
    <w:p>
      <w:pPr>
        <w:spacing w:line="480" w:lineRule="exact"/>
        <w:rPr>
          <w:rFonts w:cs="宋体" w:asciiTheme="majorEastAsia" w:hAnsiTheme="majorEastAsia" w:eastAsiaTheme="majorEastAsia"/>
          <w:sz w:val="24"/>
          <w:szCs w:val="24"/>
        </w:rPr>
      </w:pPr>
    </w:p>
    <w:p>
      <w:pPr>
        <w:spacing w:line="580" w:lineRule="exact"/>
        <w:jc w:val="center"/>
        <w:rPr>
          <w:rFonts w:cs="宋体" w:asciiTheme="majorEastAsia" w:hAnsiTheme="majorEastAsia" w:eastAsiaTheme="majorEastAsia"/>
          <w:sz w:val="30"/>
          <w:szCs w:val="30"/>
        </w:rPr>
      </w:pPr>
    </w:p>
    <w:p>
      <w:pPr>
        <w:spacing w:line="580" w:lineRule="exact"/>
        <w:jc w:val="center"/>
        <w:rPr>
          <w:rFonts w:cs="宋体" w:asciiTheme="majorEastAsia" w:hAnsiTheme="majorEastAsia" w:eastAsiaTheme="majorEastAsia"/>
          <w:sz w:val="30"/>
          <w:szCs w:val="30"/>
        </w:rPr>
      </w:pPr>
    </w:p>
    <w:p>
      <w:pPr>
        <w:spacing w:line="580" w:lineRule="exact"/>
        <w:jc w:val="center"/>
        <w:rPr>
          <w:rFonts w:cs="宋体" w:asciiTheme="majorEastAsia" w:hAnsiTheme="majorEastAsia" w:eastAsiaTheme="majorEastAsia"/>
          <w:sz w:val="30"/>
          <w:szCs w:val="30"/>
        </w:rPr>
      </w:pPr>
    </w:p>
    <w:p>
      <w:pPr>
        <w:spacing w:line="580" w:lineRule="exact"/>
        <w:jc w:val="center"/>
        <w:rPr>
          <w:rFonts w:cs="宋体" w:asciiTheme="majorEastAsia" w:hAnsiTheme="majorEastAsia" w:eastAsiaTheme="majorEastAsia"/>
          <w:sz w:val="30"/>
          <w:szCs w:val="30"/>
        </w:rPr>
      </w:pPr>
    </w:p>
    <w:p>
      <w:pPr>
        <w:spacing w:line="580" w:lineRule="exact"/>
        <w:jc w:val="center"/>
        <w:rPr>
          <w:rFonts w:cs="宋体" w:asciiTheme="majorEastAsia" w:hAnsiTheme="majorEastAsia" w:eastAsiaTheme="majorEastAsia"/>
          <w:sz w:val="30"/>
          <w:szCs w:val="30"/>
        </w:rPr>
      </w:pPr>
    </w:p>
    <w:p>
      <w:pPr>
        <w:spacing w:line="580" w:lineRule="exact"/>
        <w:jc w:val="center"/>
        <w:rPr>
          <w:rFonts w:cs="宋体" w:asciiTheme="majorEastAsia" w:hAnsiTheme="majorEastAsia" w:eastAsiaTheme="majorEastAsia"/>
          <w:sz w:val="30"/>
          <w:szCs w:val="30"/>
        </w:rPr>
      </w:pPr>
    </w:p>
    <w:p>
      <w:pPr>
        <w:spacing w:line="4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附件十九：</w:t>
      </w:r>
    </w:p>
    <w:p>
      <w:pPr>
        <w:spacing w:line="580" w:lineRule="exact"/>
        <w:rPr>
          <w:rFonts w:cs="宋体" w:asciiTheme="majorEastAsia" w:hAnsiTheme="majorEastAsia" w:eastAsiaTheme="majorEastAsia"/>
          <w:sz w:val="30"/>
          <w:szCs w:val="30"/>
        </w:rPr>
      </w:pPr>
    </w:p>
    <w:p>
      <w:pPr>
        <w:spacing w:line="580" w:lineRule="exact"/>
        <w:jc w:val="center"/>
        <w:rPr>
          <w:rFonts w:cs="宋体" w:asciiTheme="majorEastAsia" w:hAnsiTheme="majorEastAsia" w:eastAsiaTheme="majorEastAsia"/>
          <w:sz w:val="30"/>
          <w:szCs w:val="30"/>
        </w:rPr>
      </w:pPr>
      <w:r>
        <w:rPr>
          <w:rFonts w:hint="eastAsia" w:cs="宋体" w:asciiTheme="majorEastAsia" w:hAnsiTheme="majorEastAsia" w:eastAsiaTheme="majorEastAsia"/>
          <w:sz w:val="30"/>
          <w:szCs w:val="30"/>
        </w:rPr>
        <w:t>（二次或最终）报价函</w:t>
      </w:r>
    </w:p>
    <w:p>
      <w:pPr>
        <w:spacing w:line="580" w:lineRule="exact"/>
        <w:jc w:val="center"/>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（现场临时填写）</w:t>
      </w:r>
    </w:p>
    <w:p>
      <w:pPr>
        <w:spacing w:line="580" w:lineRule="exac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lang w:eastAsia="zh-CN"/>
        </w:rPr>
        <w:t>临沂市妇幼保健院院内指示导引系统项目</w:t>
      </w:r>
    </w:p>
    <w:p>
      <w:pPr>
        <w:spacing w:line="580" w:lineRule="exac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项目编号：</w:t>
      </w:r>
      <w:r>
        <w:rPr>
          <w:rFonts w:hint="eastAsia" w:cs="宋体" w:asciiTheme="majorEastAsia" w:hAnsiTheme="majorEastAsia" w:eastAsiaTheme="majorEastAsia"/>
          <w:sz w:val="24"/>
          <w:szCs w:val="24"/>
          <w:lang w:eastAsia="zh-CN"/>
        </w:rPr>
        <w:t>SDGP371300201902001005</w:t>
      </w:r>
    </w:p>
    <w:p>
      <w:pPr>
        <w:spacing w:line="580" w:lineRule="exact"/>
        <w:ind w:firstLine="240" w:firstLineChars="1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二次或最终报价：</w:t>
      </w:r>
    </w:p>
    <w:tbl>
      <w:tblPr>
        <w:tblStyle w:val="57"/>
        <w:tblW w:w="8508"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4"/>
        <w:gridCol w:w="5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4" w:type="dxa"/>
          </w:tcPr>
          <w:p>
            <w:pPr>
              <w:spacing w:line="5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项目名称</w:t>
            </w:r>
          </w:p>
        </w:tc>
        <w:tc>
          <w:tcPr>
            <w:tcW w:w="5194" w:type="dxa"/>
          </w:tcPr>
          <w:p>
            <w:pPr>
              <w:spacing w:line="5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二次或最终报价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4" w:type="dxa"/>
          </w:tcPr>
          <w:p>
            <w:pPr>
              <w:spacing w:line="580" w:lineRule="exact"/>
              <w:rPr>
                <w:rFonts w:cs="宋体" w:asciiTheme="majorEastAsia" w:hAnsiTheme="majorEastAsia" w:eastAsiaTheme="majorEastAsia"/>
                <w:sz w:val="24"/>
                <w:szCs w:val="24"/>
              </w:rPr>
            </w:pPr>
          </w:p>
        </w:tc>
        <w:tc>
          <w:tcPr>
            <w:tcW w:w="5194" w:type="dxa"/>
          </w:tcPr>
          <w:p>
            <w:pPr>
              <w:spacing w:line="5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大写：</w:t>
            </w:r>
          </w:p>
          <w:p>
            <w:pPr>
              <w:spacing w:line="5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小写：</w:t>
            </w:r>
          </w:p>
        </w:tc>
      </w:tr>
    </w:tbl>
    <w:p>
      <w:pPr>
        <w:spacing w:line="5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备注：</w:t>
      </w:r>
    </w:p>
    <w:p>
      <w:pPr>
        <w:spacing w:line="580" w:lineRule="exact"/>
        <w:ind w:firstLine="240" w:firstLineChars="1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全面响应本项目竞争性磋商文件、竞争性磋商文件补充说明的各项要求。</w:t>
      </w:r>
    </w:p>
    <w:p>
      <w:pPr>
        <w:spacing w:line="5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最终单价的确定依据最终报价与响应文件报价的比例同比下浮。</w:t>
      </w:r>
    </w:p>
    <w:p>
      <w:pPr>
        <w:spacing w:line="5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根据磋商小组最终报价要求，最终报价函由采购代理机构现场提供临时填写。</w:t>
      </w:r>
    </w:p>
    <w:p>
      <w:pPr>
        <w:spacing w:line="580" w:lineRule="exact"/>
        <w:rPr>
          <w:rFonts w:cs="宋体" w:asciiTheme="majorEastAsia" w:hAnsiTheme="majorEastAsia" w:eastAsiaTheme="majorEastAsia"/>
          <w:sz w:val="24"/>
          <w:szCs w:val="24"/>
        </w:rPr>
      </w:pPr>
    </w:p>
    <w:p>
      <w:pPr>
        <w:spacing w:line="580" w:lineRule="exact"/>
        <w:rPr>
          <w:rFonts w:cs="宋体" w:asciiTheme="majorEastAsia" w:hAnsiTheme="majorEastAsia" w:eastAsiaTheme="majorEastAsia"/>
          <w:sz w:val="24"/>
          <w:szCs w:val="24"/>
        </w:rPr>
      </w:pPr>
    </w:p>
    <w:p>
      <w:pPr>
        <w:spacing w:line="5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供应商名称：</w:t>
      </w:r>
    </w:p>
    <w:p>
      <w:pPr>
        <w:spacing w:line="5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法人代表人或全权代表签字：</w:t>
      </w:r>
    </w:p>
    <w:p>
      <w:pPr>
        <w:spacing w:line="5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日期：    年   月   日 </w:t>
      </w:r>
    </w:p>
    <w:p>
      <w:pPr>
        <w:spacing w:line="580" w:lineRule="exact"/>
        <w:rPr>
          <w:rFonts w:cs="宋体" w:asciiTheme="majorEastAsia" w:hAnsiTheme="majorEastAsia" w:eastAsiaTheme="majorEastAsia"/>
          <w:sz w:val="24"/>
          <w:szCs w:val="24"/>
        </w:rPr>
      </w:pPr>
    </w:p>
    <w:p>
      <w:pPr>
        <w:pStyle w:val="66"/>
        <w:rPr>
          <w:rFonts w:cs="宋体" w:asciiTheme="majorEastAsia" w:hAnsiTheme="majorEastAsia" w:eastAsiaTheme="majorEastAsia"/>
          <w:szCs w:val="24"/>
        </w:rPr>
      </w:pPr>
    </w:p>
    <w:p>
      <w:pPr>
        <w:pStyle w:val="66"/>
        <w:rPr>
          <w:rFonts w:cs="宋体" w:asciiTheme="majorEastAsia" w:hAnsiTheme="majorEastAsia" w:eastAsiaTheme="majorEastAsia"/>
          <w:szCs w:val="24"/>
        </w:rPr>
      </w:pPr>
    </w:p>
    <w:p>
      <w:pPr>
        <w:pStyle w:val="66"/>
        <w:rPr>
          <w:rFonts w:cs="宋体" w:asciiTheme="majorEastAsia" w:hAnsiTheme="majorEastAsia" w:eastAsiaTheme="majorEastAsia"/>
          <w:szCs w:val="24"/>
        </w:rPr>
      </w:pPr>
    </w:p>
    <w:p>
      <w:pPr>
        <w:pStyle w:val="66"/>
        <w:rPr>
          <w:rFonts w:cs="宋体" w:asciiTheme="majorEastAsia" w:hAnsiTheme="majorEastAsia" w:eastAsiaTheme="majorEastAsia"/>
          <w:szCs w:val="24"/>
        </w:rPr>
      </w:pPr>
    </w:p>
    <w:p>
      <w:pPr>
        <w:pStyle w:val="66"/>
        <w:rPr>
          <w:rFonts w:cs="宋体" w:asciiTheme="majorEastAsia" w:hAnsiTheme="majorEastAsia" w:eastAsiaTheme="majorEastAsia"/>
          <w:szCs w:val="24"/>
        </w:rPr>
      </w:pPr>
    </w:p>
    <w:p>
      <w:pPr>
        <w:pStyle w:val="66"/>
        <w:rPr>
          <w:rFonts w:cs="宋体" w:asciiTheme="majorEastAsia" w:hAnsiTheme="majorEastAsia" w:eastAsiaTheme="majorEastAsia"/>
          <w:szCs w:val="24"/>
        </w:rPr>
      </w:pPr>
    </w:p>
    <w:p>
      <w:pPr>
        <w:pStyle w:val="66"/>
        <w:rPr>
          <w:rFonts w:cs="宋体" w:asciiTheme="majorEastAsia" w:hAnsiTheme="majorEastAsia" w:eastAsiaTheme="majorEastAsia"/>
          <w:szCs w:val="24"/>
        </w:rPr>
      </w:pPr>
    </w:p>
    <w:p>
      <w:pPr>
        <w:spacing w:line="48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附件二十：</w:t>
      </w:r>
    </w:p>
    <w:p>
      <w:pPr>
        <w:spacing w:line="480" w:lineRule="exact"/>
        <w:jc w:val="center"/>
        <w:rPr>
          <w:rFonts w:cs="宋体" w:asciiTheme="majorEastAsia" w:hAnsiTheme="majorEastAsia" w:eastAsiaTheme="majorEastAsia"/>
          <w:b/>
          <w:sz w:val="32"/>
          <w:szCs w:val="32"/>
        </w:rPr>
      </w:pPr>
    </w:p>
    <w:p>
      <w:pPr>
        <w:spacing w:line="480" w:lineRule="exact"/>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响应文件包装袋密封件正面格式</w:t>
      </w:r>
    </w:p>
    <w:p>
      <w:pPr>
        <w:spacing w:line="480" w:lineRule="exact"/>
        <w:rPr>
          <w:rFonts w:cs="宋体" w:asciiTheme="majorEastAsia" w:hAnsiTheme="majorEastAsia" w:eastAsiaTheme="majorEastAsia"/>
          <w:sz w:val="24"/>
        </w:rPr>
      </w:pPr>
    </w:p>
    <w:tbl>
      <w:tblPr>
        <w:tblStyle w:val="56"/>
        <w:tblpPr w:leftFromText="180" w:rightFromText="180" w:vertAnchor="text" w:horzAnchor="margin" w:tblpXSpec="center" w:tblpY="180"/>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4332" w:type="dxa"/>
          </w:tcPr>
          <w:p>
            <w:pPr>
              <w:pStyle w:val="24"/>
              <w:spacing w:line="460" w:lineRule="exact"/>
              <w:ind w:firstLine="0" w:firstLineChars="0"/>
              <w:jc w:val="left"/>
              <w:rPr>
                <w:rFonts w:cs="宋体" w:asciiTheme="majorEastAsia" w:hAnsiTheme="majorEastAsia" w:eastAsiaTheme="majorEastAsia"/>
                <w:b/>
                <w:sz w:val="30"/>
              </w:rPr>
            </w:pPr>
            <w:r>
              <w:rPr>
                <w:rFonts w:hint="eastAsia" w:cs="宋体" w:asciiTheme="majorEastAsia" w:hAnsiTheme="majorEastAsia" w:eastAsiaTheme="majorEastAsia"/>
                <w:b/>
                <w:sz w:val="30"/>
              </w:rPr>
              <w:t>响应文件</w:t>
            </w:r>
          </w:p>
          <w:p>
            <w:pPr>
              <w:pStyle w:val="24"/>
              <w:spacing w:line="460" w:lineRule="exact"/>
              <w:ind w:firstLine="0" w:firstLineChars="0"/>
              <w:jc w:val="left"/>
              <w:rPr>
                <w:rFonts w:cs="宋体" w:asciiTheme="majorEastAsia" w:hAnsiTheme="majorEastAsia" w:eastAsiaTheme="majorEastAsia"/>
                <w:sz w:val="30"/>
              </w:rPr>
            </w:pPr>
            <w:r>
              <w:rPr>
                <w:rFonts w:hint="eastAsia" w:cs="宋体" w:asciiTheme="majorEastAsia" w:hAnsiTheme="majorEastAsia" w:eastAsiaTheme="majorEastAsia"/>
                <w:b/>
                <w:sz w:val="30"/>
              </w:rPr>
              <w:t>（正/副本）</w:t>
            </w:r>
          </w:p>
          <w:p>
            <w:pPr>
              <w:pStyle w:val="24"/>
              <w:spacing w:line="460" w:lineRule="exact"/>
              <w:ind w:firstLine="0" w:firstLineChars="0"/>
              <w:jc w:val="left"/>
              <w:rPr>
                <w:rFonts w:cs="宋体" w:asciiTheme="majorEastAsia" w:hAnsiTheme="majorEastAsia" w:eastAsiaTheme="majorEastAsia"/>
              </w:rPr>
            </w:pPr>
            <w:r>
              <w:rPr>
                <w:rFonts w:hint="eastAsia" w:cs="宋体" w:asciiTheme="majorEastAsia" w:hAnsiTheme="majorEastAsia" w:eastAsiaTheme="majorEastAsia"/>
              </w:rPr>
              <w:t>项目编号：</w:t>
            </w:r>
          </w:p>
          <w:p>
            <w:pPr>
              <w:pStyle w:val="24"/>
              <w:spacing w:line="460" w:lineRule="exact"/>
              <w:ind w:firstLine="0" w:firstLineChars="0"/>
              <w:jc w:val="left"/>
              <w:rPr>
                <w:rFonts w:cs="宋体" w:asciiTheme="majorEastAsia" w:hAnsiTheme="majorEastAsia" w:eastAsiaTheme="majorEastAsia"/>
              </w:rPr>
            </w:pPr>
            <w:r>
              <w:rPr>
                <w:rFonts w:hint="eastAsia" w:cs="宋体" w:asciiTheme="majorEastAsia" w:hAnsiTheme="majorEastAsia" w:eastAsiaTheme="majorEastAsia"/>
              </w:rPr>
              <w:t>项目名称：</w:t>
            </w:r>
          </w:p>
          <w:p>
            <w:pPr>
              <w:pStyle w:val="24"/>
              <w:spacing w:line="460" w:lineRule="exact"/>
              <w:ind w:firstLine="0" w:firstLineChars="0"/>
              <w:jc w:val="left"/>
              <w:rPr>
                <w:rFonts w:cs="宋体" w:asciiTheme="majorEastAsia" w:hAnsiTheme="majorEastAsia" w:eastAsiaTheme="majorEastAsia"/>
              </w:rPr>
            </w:pPr>
            <w:r>
              <w:rPr>
                <w:rFonts w:hint="eastAsia" w:cs="宋体" w:asciiTheme="majorEastAsia" w:hAnsiTheme="majorEastAsia" w:eastAsiaTheme="majorEastAsia"/>
              </w:rPr>
              <w:t>供应商名称（公章）：</w:t>
            </w:r>
          </w:p>
          <w:p>
            <w:pPr>
              <w:pStyle w:val="24"/>
              <w:spacing w:line="460" w:lineRule="exact"/>
              <w:ind w:firstLine="0" w:firstLineChars="0"/>
              <w:jc w:val="left"/>
              <w:rPr>
                <w:rFonts w:cs="宋体" w:asciiTheme="majorEastAsia" w:hAnsiTheme="majorEastAsia" w:eastAsiaTheme="majorEastAsia"/>
              </w:rPr>
            </w:pPr>
            <w:r>
              <w:rPr>
                <w:rFonts w:hint="eastAsia" w:cs="宋体" w:asciiTheme="majorEastAsia" w:hAnsiTheme="majorEastAsia" w:eastAsiaTheme="majorEastAsia"/>
              </w:rPr>
              <w:t>地址：</w:t>
            </w:r>
          </w:p>
          <w:p>
            <w:pPr>
              <w:pStyle w:val="24"/>
              <w:spacing w:line="460" w:lineRule="exact"/>
              <w:ind w:firstLine="0" w:firstLineChars="0"/>
              <w:jc w:val="left"/>
              <w:rPr>
                <w:rFonts w:cs="宋体" w:asciiTheme="majorEastAsia" w:hAnsiTheme="majorEastAsia" w:eastAsiaTheme="majorEastAsia"/>
              </w:rPr>
            </w:pPr>
            <w:r>
              <w:rPr>
                <w:rFonts w:hint="eastAsia" w:cs="宋体" w:asciiTheme="majorEastAsia" w:hAnsiTheme="majorEastAsia" w:eastAsiaTheme="majorEastAsia"/>
              </w:rPr>
              <w:t>电话：</w:t>
            </w:r>
          </w:p>
          <w:p>
            <w:pPr>
              <w:pStyle w:val="24"/>
              <w:spacing w:line="460" w:lineRule="exact"/>
              <w:ind w:firstLine="0" w:firstLineChars="0"/>
              <w:rPr>
                <w:rFonts w:cs="宋体" w:asciiTheme="majorEastAsia" w:hAnsiTheme="majorEastAsia" w:eastAsiaTheme="majorEastAsia"/>
              </w:rPr>
            </w:pPr>
            <w:r>
              <w:rPr>
                <w:rFonts w:hint="eastAsia" w:cs="宋体" w:asciiTheme="majorEastAsia" w:hAnsiTheme="majorEastAsia" w:eastAsiaTheme="majorEastAsia"/>
              </w:rPr>
              <w:t xml:space="preserve">传真： </w:t>
            </w:r>
          </w:p>
        </w:tc>
        <w:tc>
          <w:tcPr>
            <w:tcW w:w="4620" w:type="dxa"/>
          </w:tcPr>
          <w:p>
            <w:pPr>
              <w:pStyle w:val="24"/>
              <w:spacing w:line="440" w:lineRule="exact"/>
              <w:ind w:firstLine="904" w:firstLineChars="300"/>
              <w:rPr>
                <w:rFonts w:asciiTheme="majorEastAsia" w:hAnsiTheme="majorEastAsia" w:eastAsiaTheme="majorEastAsia"/>
                <w:b/>
                <w:sz w:val="30"/>
              </w:rPr>
            </w:pPr>
            <w:r>
              <w:rPr>
                <w:rFonts w:hint="eastAsia" w:asciiTheme="majorEastAsia" w:hAnsiTheme="majorEastAsia" w:eastAsiaTheme="majorEastAsia"/>
                <w:b/>
                <w:sz w:val="30"/>
              </w:rPr>
              <w:t>资格审查资料</w:t>
            </w:r>
          </w:p>
          <w:p>
            <w:pPr>
              <w:spacing w:line="360" w:lineRule="auto"/>
              <w:rPr>
                <w:rFonts w:cs="宋体" w:asciiTheme="majorEastAsia" w:hAnsiTheme="majorEastAsia" w:eastAsiaTheme="majorEastAsia"/>
                <w:sz w:val="24"/>
                <w:szCs w:val="22"/>
              </w:rPr>
            </w:pPr>
            <w:r>
              <w:rPr>
                <w:rFonts w:hint="eastAsia" w:cs="宋体" w:asciiTheme="majorEastAsia" w:hAnsiTheme="majorEastAsia" w:eastAsiaTheme="majorEastAsia"/>
                <w:sz w:val="24"/>
                <w:szCs w:val="22"/>
              </w:rPr>
              <w:t>项目名称：</w:t>
            </w:r>
          </w:p>
          <w:p>
            <w:pPr>
              <w:spacing w:line="360" w:lineRule="auto"/>
              <w:rPr>
                <w:rFonts w:cs="宋体" w:asciiTheme="majorEastAsia" w:hAnsiTheme="majorEastAsia" w:eastAsiaTheme="majorEastAsia"/>
                <w:sz w:val="24"/>
                <w:szCs w:val="22"/>
              </w:rPr>
            </w:pPr>
            <w:r>
              <w:rPr>
                <w:rFonts w:hint="eastAsia" w:cs="宋体" w:asciiTheme="majorEastAsia" w:hAnsiTheme="majorEastAsia" w:eastAsiaTheme="majorEastAsia"/>
                <w:sz w:val="24"/>
                <w:szCs w:val="22"/>
              </w:rPr>
              <w:t>项目编号：</w:t>
            </w:r>
          </w:p>
          <w:p>
            <w:pPr>
              <w:spacing w:line="360" w:lineRule="auto"/>
              <w:rPr>
                <w:rFonts w:cs="宋体" w:asciiTheme="majorEastAsia" w:hAnsiTheme="majorEastAsia" w:eastAsiaTheme="majorEastAsia"/>
                <w:sz w:val="24"/>
                <w:szCs w:val="22"/>
              </w:rPr>
            </w:pPr>
            <w:r>
              <w:rPr>
                <w:rFonts w:hint="eastAsia" w:cs="宋体" w:asciiTheme="majorEastAsia" w:hAnsiTheme="majorEastAsia" w:eastAsiaTheme="majorEastAsia"/>
                <w:sz w:val="24"/>
                <w:szCs w:val="22"/>
              </w:rPr>
              <w:t>供应商名称（公章）：</w:t>
            </w:r>
          </w:p>
          <w:p>
            <w:pPr>
              <w:spacing w:line="360" w:lineRule="auto"/>
              <w:rPr>
                <w:rFonts w:cs="宋体" w:asciiTheme="majorEastAsia" w:hAnsiTheme="majorEastAsia" w:eastAsiaTheme="majorEastAsia"/>
                <w:sz w:val="24"/>
                <w:szCs w:val="22"/>
              </w:rPr>
            </w:pPr>
            <w:r>
              <w:rPr>
                <w:rFonts w:hint="eastAsia" w:cs="宋体" w:asciiTheme="majorEastAsia" w:hAnsiTheme="majorEastAsia" w:eastAsiaTheme="majorEastAsia"/>
                <w:sz w:val="24"/>
                <w:szCs w:val="22"/>
              </w:rPr>
              <w:t>内附：</w:t>
            </w:r>
          </w:p>
          <w:p>
            <w:pPr>
              <w:spacing w:line="360" w:lineRule="auto"/>
              <w:rPr>
                <w:rFonts w:cs="宋体" w:asciiTheme="majorEastAsia" w:hAnsiTheme="majorEastAsia" w:eastAsiaTheme="majorEastAsia"/>
                <w:sz w:val="24"/>
                <w:szCs w:val="22"/>
              </w:rPr>
            </w:pPr>
            <w:r>
              <w:rPr>
                <w:rFonts w:hint="eastAsia" w:cs="宋体" w:asciiTheme="majorEastAsia" w:hAnsiTheme="majorEastAsia" w:eastAsiaTheme="majorEastAsia"/>
                <w:sz w:val="24"/>
                <w:szCs w:val="22"/>
              </w:rPr>
              <w:t>①</w:t>
            </w:r>
          </w:p>
          <w:p>
            <w:pPr>
              <w:spacing w:line="360" w:lineRule="auto"/>
              <w:rPr>
                <w:rFonts w:cs="宋体" w:asciiTheme="majorEastAsia" w:hAnsiTheme="majorEastAsia" w:eastAsiaTheme="majorEastAsia"/>
                <w:sz w:val="24"/>
                <w:szCs w:val="22"/>
              </w:rPr>
            </w:pPr>
            <w:r>
              <w:rPr>
                <w:rFonts w:hint="eastAsia" w:cs="宋体" w:asciiTheme="majorEastAsia" w:hAnsiTheme="majorEastAsia" w:eastAsiaTheme="majorEastAsia"/>
                <w:sz w:val="24"/>
                <w:szCs w:val="22"/>
              </w:rPr>
              <w:t>②</w:t>
            </w:r>
          </w:p>
          <w:p>
            <w:pPr>
              <w:spacing w:line="360" w:lineRule="auto"/>
              <w:rPr>
                <w:rFonts w:cs="宋体" w:asciiTheme="majorEastAsia" w:hAnsiTheme="majorEastAsia" w:eastAsiaTheme="majorEastAsia"/>
                <w:sz w:val="24"/>
                <w:szCs w:val="22"/>
              </w:rPr>
            </w:pPr>
            <w:r>
              <w:rPr>
                <w:rFonts w:hint="eastAsia" w:cs="宋体" w:asciiTheme="majorEastAsia" w:hAnsiTheme="majorEastAsia" w:eastAsiaTheme="majorEastAsia"/>
                <w:sz w:val="24"/>
                <w:szCs w:val="22"/>
              </w:rPr>
              <w:t>③</w:t>
            </w:r>
          </w:p>
          <w:p>
            <w:pPr>
              <w:pStyle w:val="24"/>
              <w:spacing w:line="360" w:lineRule="auto"/>
              <w:ind w:firstLine="0" w:firstLineChars="0"/>
              <w:jc w:val="left"/>
              <w:rPr>
                <w:rFonts w:cs="宋体" w:asciiTheme="majorEastAsia" w:hAnsiTheme="majorEastAsia" w:eastAsiaTheme="majorEastAsia"/>
              </w:rPr>
            </w:pPr>
            <w:r>
              <w:rPr>
                <w:rFonts w:hint="eastAsia" w:cs="宋体" w:asciiTheme="majorEastAsia" w:hAnsiTheme="majorEastAsia" w:eastAsiaTheme="majorEastAsia"/>
                <w:szCs w:val="22"/>
              </w:rPr>
              <w:t xml:space="preserve">…… </w:t>
            </w:r>
          </w:p>
        </w:tc>
      </w:tr>
    </w:tbl>
    <w:p>
      <w:pPr>
        <w:pStyle w:val="24"/>
        <w:spacing w:line="240" w:lineRule="auto"/>
        <w:ind w:firstLine="0" w:firstLineChars="0"/>
        <w:rPr>
          <w:rFonts w:cs="宋体" w:asciiTheme="majorEastAsia" w:hAnsiTheme="majorEastAsia" w:eastAsiaTheme="majorEastAsia"/>
          <w:sz w:val="21"/>
        </w:rPr>
      </w:pPr>
    </w:p>
    <w:tbl>
      <w:tblPr>
        <w:tblStyle w:val="56"/>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7560" w:type="dxa"/>
            <w:tcBorders>
              <w:bottom w:val="single" w:color="auto" w:sz="4" w:space="0"/>
            </w:tcBorders>
          </w:tcPr>
          <w:p>
            <w:pPr>
              <w:pStyle w:val="24"/>
              <w:spacing w:line="460" w:lineRule="exact"/>
              <w:ind w:firstLine="0" w:firstLineChars="0"/>
              <w:jc w:val="left"/>
              <w:rPr>
                <w:rFonts w:cs="宋体" w:asciiTheme="majorEastAsia" w:hAnsiTheme="majorEastAsia" w:eastAsiaTheme="majorEastAsia"/>
                <w:b/>
                <w:sz w:val="30"/>
              </w:rPr>
            </w:pPr>
            <w:r>
              <w:rPr>
                <w:rFonts w:hint="eastAsia" w:cs="宋体" w:asciiTheme="majorEastAsia" w:hAnsiTheme="majorEastAsia" w:eastAsiaTheme="majorEastAsia"/>
                <w:b/>
                <w:sz w:val="30"/>
              </w:rPr>
              <w:t>电子版响应文件</w:t>
            </w:r>
          </w:p>
          <w:p>
            <w:pPr>
              <w:pStyle w:val="24"/>
              <w:spacing w:line="460" w:lineRule="exact"/>
              <w:ind w:firstLine="0" w:firstLineChars="0"/>
              <w:jc w:val="left"/>
              <w:rPr>
                <w:rFonts w:cs="宋体" w:asciiTheme="majorEastAsia" w:hAnsiTheme="majorEastAsia" w:eastAsiaTheme="majorEastAsia"/>
              </w:rPr>
            </w:pPr>
            <w:r>
              <w:rPr>
                <w:rFonts w:hint="eastAsia" w:cs="宋体" w:asciiTheme="majorEastAsia" w:hAnsiTheme="majorEastAsia" w:eastAsiaTheme="majorEastAsia"/>
              </w:rPr>
              <w:t>项目编号：</w:t>
            </w:r>
          </w:p>
          <w:p>
            <w:pPr>
              <w:pStyle w:val="24"/>
              <w:spacing w:line="460" w:lineRule="exact"/>
              <w:ind w:firstLine="0" w:firstLineChars="0"/>
              <w:jc w:val="left"/>
              <w:rPr>
                <w:rFonts w:cs="宋体" w:asciiTheme="majorEastAsia" w:hAnsiTheme="majorEastAsia" w:eastAsiaTheme="majorEastAsia"/>
              </w:rPr>
            </w:pPr>
            <w:r>
              <w:rPr>
                <w:rFonts w:hint="eastAsia" w:cs="宋体" w:asciiTheme="majorEastAsia" w:hAnsiTheme="majorEastAsia" w:eastAsiaTheme="majorEastAsia"/>
              </w:rPr>
              <w:t>项目名称：</w:t>
            </w:r>
          </w:p>
          <w:p>
            <w:pPr>
              <w:pStyle w:val="24"/>
              <w:spacing w:line="460" w:lineRule="exact"/>
              <w:ind w:firstLine="0" w:firstLineChars="0"/>
              <w:jc w:val="left"/>
              <w:rPr>
                <w:rFonts w:cs="宋体" w:asciiTheme="majorEastAsia" w:hAnsiTheme="majorEastAsia" w:eastAsiaTheme="majorEastAsia"/>
              </w:rPr>
            </w:pPr>
            <w:r>
              <w:rPr>
                <w:rFonts w:hint="eastAsia" w:cs="宋体" w:asciiTheme="majorEastAsia" w:hAnsiTheme="majorEastAsia" w:eastAsiaTheme="majorEastAsia"/>
              </w:rPr>
              <w:t>供应商名称（公章）：</w:t>
            </w:r>
          </w:p>
          <w:p>
            <w:pPr>
              <w:pStyle w:val="24"/>
              <w:spacing w:line="460" w:lineRule="exact"/>
              <w:ind w:firstLine="0" w:firstLineChars="0"/>
              <w:jc w:val="left"/>
              <w:rPr>
                <w:rFonts w:cs="宋体" w:asciiTheme="majorEastAsia" w:hAnsiTheme="majorEastAsia" w:eastAsiaTheme="majorEastAsia"/>
              </w:rPr>
            </w:pPr>
            <w:r>
              <w:rPr>
                <w:rFonts w:hint="eastAsia" w:cs="宋体" w:asciiTheme="majorEastAsia" w:hAnsiTheme="majorEastAsia" w:eastAsiaTheme="majorEastAsia"/>
              </w:rPr>
              <w:t>地址：</w:t>
            </w:r>
          </w:p>
          <w:p>
            <w:pPr>
              <w:pStyle w:val="24"/>
              <w:spacing w:line="460" w:lineRule="exact"/>
              <w:ind w:firstLine="0" w:firstLineChars="0"/>
              <w:jc w:val="left"/>
              <w:rPr>
                <w:rFonts w:cs="宋体" w:asciiTheme="majorEastAsia" w:hAnsiTheme="majorEastAsia" w:eastAsiaTheme="majorEastAsia"/>
              </w:rPr>
            </w:pPr>
            <w:r>
              <w:rPr>
                <w:rFonts w:hint="eastAsia" w:cs="宋体" w:asciiTheme="majorEastAsia" w:hAnsiTheme="majorEastAsia" w:eastAsiaTheme="majorEastAsia"/>
              </w:rPr>
              <w:t>电话：</w:t>
            </w:r>
          </w:p>
          <w:p>
            <w:pPr>
              <w:pStyle w:val="24"/>
              <w:spacing w:line="460" w:lineRule="exact"/>
              <w:ind w:firstLine="0" w:firstLineChars="0"/>
              <w:jc w:val="left"/>
              <w:rPr>
                <w:rFonts w:cs="宋体" w:asciiTheme="majorEastAsia" w:hAnsiTheme="majorEastAsia" w:eastAsiaTheme="majorEastAsia"/>
              </w:rPr>
            </w:pPr>
            <w:r>
              <w:rPr>
                <w:rFonts w:hint="eastAsia" w:asciiTheme="majorEastAsia" w:hAnsiTheme="majorEastAsia" w:eastAsiaTheme="majorEastAsia"/>
              </w:rPr>
              <w:t>传真：</w:t>
            </w:r>
          </w:p>
        </w:tc>
      </w:tr>
    </w:tbl>
    <w:p>
      <w:pPr>
        <w:spacing w:line="480" w:lineRule="exact"/>
        <w:rPr>
          <w:rFonts w:cs="宋体" w:asciiTheme="majorEastAsia" w:hAnsiTheme="majorEastAsia" w:eastAsiaTheme="majorEastAsia"/>
          <w:b/>
          <w:sz w:val="32"/>
          <w:szCs w:val="32"/>
        </w:rPr>
      </w:pPr>
    </w:p>
    <w:p>
      <w:pPr>
        <w:spacing w:line="480" w:lineRule="exact"/>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响应文件封口格式</w:t>
      </w:r>
    </w:p>
    <w:p>
      <w:pPr>
        <w:spacing w:line="480" w:lineRule="exact"/>
        <w:rPr>
          <w:rFonts w:cs="宋体" w:asciiTheme="majorEastAsia" w:hAnsiTheme="majorEastAsia" w:eastAsiaTheme="majorEastAsia"/>
          <w:b/>
          <w:sz w:val="36"/>
          <w:szCs w:val="36"/>
        </w:rPr>
      </w:pPr>
    </w:p>
    <w:tbl>
      <w:tblPr>
        <w:tblStyle w:val="56"/>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9000" w:type="dxa"/>
          </w:tcPr>
          <w:p>
            <w:pPr>
              <w:spacing w:line="480" w:lineRule="exact"/>
              <w:rPr>
                <w:rFonts w:cs="宋体" w:asciiTheme="majorEastAsia" w:hAnsiTheme="majorEastAsia" w:eastAsiaTheme="majorEastAsia"/>
                <w:sz w:val="24"/>
              </w:rPr>
            </w:pPr>
            <w:r>
              <w:rPr>
                <w:rFonts w:hint="eastAsia" w:cs="宋体" w:asciiTheme="majorEastAsia" w:hAnsiTheme="majorEastAsia" w:eastAsiaTheme="majorEastAsia"/>
                <w:sz w:val="24"/>
              </w:rPr>
              <w:t>请勿在     年   月   日   :   时之前启封</w:t>
            </w:r>
          </w:p>
          <w:p>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加盖供应商公章（或供应商法定代表人或其授权代表签字）</w:t>
            </w:r>
          </w:p>
        </w:tc>
      </w:tr>
    </w:tbl>
    <w:p>
      <w:pPr>
        <w:pStyle w:val="2"/>
        <w:spacing w:after="0" w:line="540" w:lineRule="exact"/>
        <w:rPr>
          <w:rFonts w:asciiTheme="majorEastAsia" w:hAnsiTheme="majorEastAsia" w:eastAsiaTheme="majorEastAsia"/>
          <w:sz w:val="24"/>
          <w:szCs w:val="24"/>
        </w:rPr>
      </w:pPr>
    </w:p>
    <w:sectPr>
      <w:headerReference r:id="rId13" w:type="default"/>
      <w:footerReference r:id="rId14" w:type="default"/>
      <w:pgSz w:w="11906" w:h="16838"/>
      <w:pgMar w:top="1440"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GothicE">
    <w:altName w:val="Courier New"/>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swiss"/>
    <w:pitch w:val="default"/>
    <w:sig w:usb0="900002AF" w:usb1="01D77CFB" w:usb2="00000012" w:usb3="00000000" w:csb0="203E01BD" w:csb1="D7FF0000"/>
  </w:font>
  <w:font w:name="新宋体">
    <w:panose1 w:val="02010609030101010101"/>
    <w:charset w:val="86"/>
    <w:family w:val="modern"/>
    <w:pitch w:val="default"/>
    <w:sig w:usb0="00000283" w:usb1="288F0000" w:usb2="00000006" w:usb3="00000000" w:csb0="00040001" w:csb1="00000000"/>
  </w:font>
  <w:font w:name="AdobeHeitiStd-Regular">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annotateSC-W5">
    <w:altName w:val="宋体"/>
    <w:panose1 w:val="00000000000000000000"/>
    <w:charset w:val="86"/>
    <w:family w:val="script"/>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8597"/>
        <w:tab w:val="clear" w:pos="4153"/>
        <w:tab w:val="clear" w:pos="8306"/>
      </w:tabs>
      <w:ind w:right="360" w:firstLine="360"/>
    </w:pPr>
    <w:bookmarkStart w:id="22" w:name="_GoBack"/>
    <w:bookmarkEnd w:id="22"/>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60"/>
      </w:rPr>
    </w:pPr>
    <w:r>
      <w:fldChar w:fldCharType="begin"/>
    </w:r>
    <w:r>
      <w:rPr>
        <w:rStyle w:val="60"/>
      </w:rPr>
      <w:instrText xml:space="preserve">PAGE  </w:instrText>
    </w:r>
    <w:r>
      <w:fldChar w:fldCharType="end"/>
    </w:r>
  </w:p>
  <w:p>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5"/>
                  <w:rPr>
                    <w:rStyle w:val="60"/>
                    <w:rFonts w:ascii="仿宋_GB2312" w:eastAsia="仿宋_GB2312"/>
                  </w:rPr>
                </w:pPr>
                <w:r>
                  <w:rPr>
                    <w:rStyle w:val="60"/>
                    <w:rFonts w:hint="eastAsia" w:ascii="仿宋_GB2312" w:eastAsia="仿宋_GB2312"/>
                  </w:rPr>
                  <w:t>第</w:t>
                </w:r>
                <w:r>
                  <w:rPr>
                    <w:rFonts w:hint="eastAsia" w:ascii="仿宋_GB2312" w:eastAsia="仿宋_GB2312"/>
                  </w:rPr>
                  <w:fldChar w:fldCharType="begin"/>
                </w:r>
                <w:r>
                  <w:rPr>
                    <w:rStyle w:val="60"/>
                    <w:rFonts w:hint="eastAsia" w:ascii="仿宋_GB2312" w:eastAsia="仿宋_GB2312"/>
                  </w:rPr>
                  <w:instrText xml:space="preserve"> PAGE </w:instrText>
                </w:r>
                <w:r>
                  <w:rPr>
                    <w:rFonts w:hint="eastAsia" w:ascii="仿宋_GB2312" w:eastAsia="仿宋_GB2312"/>
                  </w:rPr>
                  <w:fldChar w:fldCharType="separate"/>
                </w:r>
                <w:r>
                  <w:rPr>
                    <w:rStyle w:val="60"/>
                    <w:rFonts w:ascii="仿宋_GB2312" w:eastAsia="仿宋_GB2312"/>
                  </w:rPr>
                  <w:t>26</w:t>
                </w:r>
                <w:r>
                  <w:rPr>
                    <w:rFonts w:hint="eastAsia" w:ascii="仿宋_GB2312" w:eastAsia="仿宋_GB2312"/>
                  </w:rPr>
                  <w:fldChar w:fldCharType="end"/>
                </w:r>
                <w:r>
                  <w:rPr>
                    <w:rStyle w:val="60"/>
                    <w:rFonts w:hint="eastAsia" w:ascii="仿宋_GB2312" w:eastAsia="仿宋_GB2312"/>
                  </w:rPr>
                  <w:t>页 共</w:t>
                </w:r>
                <w:r>
                  <w:rPr>
                    <w:rFonts w:hint="eastAsia" w:ascii="仿宋_GB2312" w:eastAsia="仿宋_GB2312"/>
                  </w:rPr>
                  <w:fldChar w:fldCharType="begin"/>
                </w:r>
                <w:r>
                  <w:rPr>
                    <w:rStyle w:val="60"/>
                    <w:rFonts w:hint="eastAsia" w:ascii="仿宋_GB2312" w:eastAsia="仿宋_GB2312"/>
                  </w:rPr>
                  <w:instrText xml:space="preserve"> NUMPAGES </w:instrText>
                </w:r>
                <w:r>
                  <w:rPr>
                    <w:rFonts w:hint="eastAsia" w:ascii="仿宋_GB2312" w:eastAsia="仿宋_GB2312"/>
                  </w:rPr>
                  <w:fldChar w:fldCharType="separate"/>
                </w:r>
                <w:r>
                  <w:rPr>
                    <w:rStyle w:val="60"/>
                    <w:rFonts w:ascii="仿宋_GB2312" w:eastAsia="仿宋_GB2312"/>
                  </w:rPr>
                  <w:t>53</w:t>
                </w:r>
                <w:r>
                  <w:rPr>
                    <w:rFonts w:hint="eastAsia" w:ascii="仿宋_GB2312" w:eastAsia="仿宋_GB2312"/>
                  </w:rPr>
                  <w:fldChar w:fldCharType="end"/>
                </w:r>
                <w:r>
                  <w:rPr>
                    <w:rStyle w:val="60"/>
                    <w:rFonts w:hint="eastAsia" w:ascii="仿宋_GB2312" w:eastAsia="仿宋_GB2312"/>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5"/>
                  <w:rPr>
                    <w:rStyle w:val="60"/>
                    <w:rFonts w:ascii="仿宋_GB2312" w:eastAsia="仿宋_GB2312"/>
                  </w:rPr>
                </w:pPr>
                <w:r>
                  <w:rPr>
                    <w:rStyle w:val="60"/>
                    <w:rFonts w:hint="eastAsia" w:ascii="仿宋_GB2312" w:eastAsia="仿宋_GB2312"/>
                  </w:rPr>
                  <w:t>第</w:t>
                </w:r>
                <w:r>
                  <w:rPr>
                    <w:rFonts w:hint="eastAsia" w:ascii="仿宋_GB2312" w:eastAsia="仿宋_GB2312"/>
                  </w:rPr>
                  <w:fldChar w:fldCharType="begin"/>
                </w:r>
                <w:r>
                  <w:rPr>
                    <w:rStyle w:val="60"/>
                    <w:rFonts w:hint="eastAsia" w:ascii="仿宋_GB2312" w:eastAsia="仿宋_GB2312"/>
                  </w:rPr>
                  <w:instrText xml:space="preserve"> PAGE </w:instrText>
                </w:r>
                <w:r>
                  <w:rPr>
                    <w:rFonts w:hint="eastAsia" w:ascii="仿宋_GB2312" w:eastAsia="仿宋_GB2312"/>
                  </w:rPr>
                  <w:fldChar w:fldCharType="separate"/>
                </w:r>
                <w:r>
                  <w:rPr>
                    <w:rStyle w:val="60"/>
                    <w:rFonts w:ascii="仿宋_GB2312" w:eastAsia="仿宋_GB2312"/>
                  </w:rPr>
                  <w:t>36</w:t>
                </w:r>
                <w:r>
                  <w:rPr>
                    <w:rFonts w:hint="eastAsia" w:ascii="仿宋_GB2312" w:eastAsia="仿宋_GB2312"/>
                  </w:rPr>
                  <w:fldChar w:fldCharType="end"/>
                </w:r>
                <w:r>
                  <w:rPr>
                    <w:rStyle w:val="60"/>
                    <w:rFonts w:hint="eastAsia" w:ascii="仿宋_GB2312" w:eastAsia="仿宋_GB2312"/>
                  </w:rPr>
                  <w:t>页 共</w:t>
                </w:r>
                <w:r>
                  <w:rPr>
                    <w:rFonts w:hint="eastAsia" w:ascii="仿宋_GB2312" w:eastAsia="仿宋_GB2312"/>
                  </w:rPr>
                  <w:fldChar w:fldCharType="begin"/>
                </w:r>
                <w:r>
                  <w:rPr>
                    <w:rStyle w:val="60"/>
                    <w:rFonts w:hint="eastAsia" w:ascii="仿宋_GB2312" w:eastAsia="仿宋_GB2312"/>
                  </w:rPr>
                  <w:instrText xml:space="preserve"> NUMPAGES </w:instrText>
                </w:r>
                <w:r>
                  <w:rPr>
                    <w:rFonts w:hint="eastAsia" w:ascii="仿宋_GB2312" w:eastAsia="仿宋_GB2312"/>
                  </w:rPr>
                  <w:fldChar w:fldCharType="separate"/>
                </w:r>
                <w:r>
                  <w:rPr>
                    <w:rStyle w:val="60"/>
                    <w:rFonts w:ascii="仿宋_GB2312" w:eastAsia="仿宋_GB2312"/>
                  </w:rPr>
                  <w:t>36</w:t>
                </w:r>
                <w:r>
                  <w:rPr>
                    <w:rFonts w:hint="eastAsia" w:ascii="仿宋_GB2312" w:eastAsia="仿宋_GB2312"/>
                  </w:rPr>
                  <w:fldChar w:fldCharType="end"/>
                </w:r>
                <w:r>
                  <w:rPr>
                    <w:rStyle w:val="60"/>
                    <w:rFonts w:hint="eastAsia" w:ascii="仿宋_GB2312" w:eastAsia="仿宋_GB2312"/>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58</w:t>
                </w:r>
                <w:r>
                  <w:rPr>
                    <w:kern w:val="0"/>
                    <w:szCs w:val="21"/>
                  </w:rPr>
                  <w:fldChar w:fldCharType="end"/>
                </w:r>
                <w:r>
                  <w:rPr>
                    <w:rFonts w:hint="eastAsia"/>
                    <w:kern w:val="0"/>
                    <w:szCs w:val="21"/>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5"/>
                  <w:rPr>
                    <w:rStyle w:val="60"/>
                    <w:rFonts w:ascii="仿宋_GB2312" w:eastAsia="仿宋_GB2312"/>
                  </w:rPr>
                </w:pPr>
                <w:r>
                  <w:rPr>
                    <w:rStyle w:val="60"/>
                    <w:rFonts w:hint="eastAsia" w:ascii="仿宋_GB2312" w:eastAsia="仿宋_GB2312"/>
                  </w:rPr>
                  <w:t>第</w:t>
                </w:r>
                <w:r>
                  <w:rPr>
                    <w:rFonts w:hint="eastAsia" w:ascii="仿宋_GB2312" w:eastAsia="仿宋_GB2312"/>
                  </w:rPr>
                  <w:fldChar w:fldCharType="begin"/>
                </w:r>
                <w:r>
                  <w:rPr>
                    <w:rStyle w:val="60"/>
                    <w:rFonts w:hint="eastAsia" w:ascii="仿宋_GB2312" w:eastAsia="仿宋_GB2312"/>
                  </w:rPr>
                  <w:instrText xml:space="preserve"> PAGE </w:instrText>
                </w:r>
                <w:r>
                  <w:rPr>
                    <w:rFonts w:hint="eastAsia" w:ascii="仿宋_GB2312" w:eastAsia="仿宋_GB2312"/>
                  </w:rPr>
                  <w:fldChar w:fldCharType="separate"/>
                </w:r>
                <w:r>
                  <w:rPr>
                    <w:rStyle w:val="60"/>
                    <w:rFonts w:ascii="仿宋_GB2312" w:eastAsia="仿宋_GB2312"/>
                  </w:rPr>
                  <w:t>53</w:t>
                </w:r>
                <w:r>
                  <w:rPr>
                    <w:rFonts w:hint="eastAsia" w:ascii="仿宋_GB2312" w:eastAsia="仿宋_GB2312"/>
                  </w:rPr>
                  <w:fldChar w:fldCharType="end"/>
                </w:r>
                <w:r>
                  <w:rPr>
                    <w:rStyle w:val="60"/>
                    <w:rFonts w:hint="eastAsia" w:ascii="仿宋_GB2312" w:eastAsia="仿宋_GB2312"/>
                  </w:rPr>
                  <w:t>页 共</w:t>
                </w:r>
                <w:r>
                  <w:rPr>
                    <w:rFonts w:hint="eastAsia" w:ascii="仿宋_GB2312" w:eastAsia="仿宋_GB2312"/>
                  </w:rPr>
                  <w:fldChar w:fldCharType="begin"/>
                </w:r>
                <w:r>
                  <w:rPr>
                    <w:rStyle w:val="60"/>
                    <w:rFonts w:hint="eastAsia" w:ascii="仿宋_GB2312" w:eastAsia="仿宋_GB2312"/>
                  </w:rPr>
                  <w:instrText xml:space="preserve"> NUMPAGES </w:instrText>
                </w:r>
                <w:r>
                  <w:rPr>
                    <w:rFonts w:hint="eastAsia" w:ascii="仿宋_GB2312" w:eastAsia="仿宋_GB2312"/>
                  </w:rPr>
                  <w:fldChar w:fldCharType="separate"/>
                </w:r>
                <w:r>
                  <w:rPr>
                    <w:rStyle w:val="60"/>
                    <w:rFonts w:ascii="仿宋_GB2312" w:eastAsia="仿宋_GB2312"/>
                  </w:rPr>
                  <w:t>53</w:t>
                </w:r>
                <w:r>
                  <w:rPr>
                    <w:rFonts w:hint="eastAsia" w:ascii="仿宋_GB2312" w:eastAsia="仿宋_GB2312"/>
                  </w:rPr>
                  <w:fldChar w:fldCharType="end"/>
                </w:r>
                <w:r>
                  <w:rPr>
                    <w:rStyle w:val="60"/>
                    <w:rFonts w:hint="eastAsia" w:ascii="仿宋_GB2312" w:eastAsia="仿宋_GB2312"/>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left" w:pos="380"/>
      </w:tabs>
      <w:jc w:val="left"/>
      <w:rPr>
        <w:rFonts w:hint="eastAsia" w:eastAsia="宋体"/>
        <w:lang w:eastAsia="zh-CN"/>
      </w:rPr>
    </w:pPr>
    <w:r>
      <w:rPr>
        <w:rFonts w:hint="eastAsia"/>
        <w:lang w:eastAsia="zh-CN"/>
      </w:rPr>
      <w:tab/>
    </w:r>
    <w:r>
      <w:rPr>
        <w:rFonts w:hint="eastAsia" w:ascii="宋体" w:hAnsi="宋体"/>
        <w:i/>
      </w:rPr>
      <w:t xml:space="preserve">临沂鼎泰招标有限公司     </w:t>
    </w:r>
    <w:r>
      <w:rPr>
        <w:rFonts w:hint="eastAsia" w:ascii="宋体" w:hAnsi="宋体"/>
        <w:i/>
        <w:lang w:val="en-US" w:eastAsia="zh-CN"/>
      </w:rPr>
      <w:t xml:space="preserve">   </w:t>
    </w:r>
    <w:r>
      <w:rPr>
        <w:rFonts w:hint="eastAsia" w:ascii="宋体" w:hAnsi="宋体"/>
        <w:i/>
      </w:rPr>
      <w:t xml:space="preserve">                                     </w:t>
    </w:r>
    <w:r>
      <w:rPr>
        <w:rFonts w:hint="eastAsia"/>
        <w:i/>
        <w:szCs w:val="18"/>
        <w:lang w:eastAsia="zh-CN"/>
      </w:rPr>
      <w:t>临沂市妇幼保健院院内指示导引系统项目</w:t>
    </w:r>
    <w:r>
      <w:rPr>
        <w:rFonts w:hint="eastAsia"/>
        <w:i/>
        <w:iCs/>
        <w:sz w:val="21"/>
        <w:szCs w:val="21"/>
      </w:rPr>
      <w:t xml:space="preserve"> </w:t>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int="eastAsia" w:eastAsia="宋体"/>
        <w:i/>
        <w:sz w:val="18"/>
        <w:szCs w:val="18"/>
        <w:u w:val="single"/>
        <w:lang w:eastAsia="zh-CN"/>
      </w:rPr>
    </w:pPr>
    <w:r>
      <w:rPr>
        <w:rFonts w:hint="eastAsia"/>
        <w:i/>
        <w:sz w:val="18"/>
        <w:szCs w:val="18"/>
        <w:u w:val="single"/>
      </w:rPr>
      <w:t xml:space="preserve">临沂鼎泰招标有限公司                             </w:t>
    </w:r>
    <w:r>
      <w:rPr>
        <w:rFonts w:hint="eastAsia"/>
        <w:i/>
        <w:sz w:val="18"/>
        <w:szCs w:val="18"/>
        <w:u w:val="single"/>
        <w:lang w:val="en-US" w:eastAsia="zh-CN"/>
      </w:rPr>
      <w:t xml:space="preserve">              </w:t>
    </w:r>
    <w:r>
      <w:rPr>
        <w:rFonts w:hint="eastAsia"/>
        <w:i/>
        <w:sz w:val="18"/>
        <w:szCs w:val="18"/>
        <w:u w:val="single"/>
        <w:lang w:eastAsia="zh-CN"/>
      </w:rPr>
      <w:t>临沂市妇幼保健院院内指示导引系统项目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hint="eastAsia" w:eastAsia="宋体"/>
        <w:i/>
        <w:iCs/>
        <w:color w:val="000000" w:themeColor="text1"/>
        <w:szCs w:val="18"/>
        <w:lang w:eastAsia="zh-CN"/>
      </w:rPr>
    </w:pPr>
    <w:r>
      <w:rPr>
        <w:rFonts w:hint="eastAsia"/>
        <w:i/>
        <w:iCs/>
        <w:szCs w:val="18"/>
      </w:rPr>
      <w:t xml:space="preserve"> 临沂鼎泰招标有限公司                                </w:t>
    </w:r>
    <w:r>
      <w:rPr>
        <w:rFonts w:hint="eastAsia"/>
        <w:i/>
        <w:szCs w:val="18"/>
        <w:lang w:eastAsia="zh-CN"/>
      </w:rPr>
      <w:t>临沂市妇幼保健院院内指示导引系统项目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ascii="宋体" w:hAnsi="宋体"/>
        <w:i/>
      </w:rPr>
    </w:pPr>
    <w:r>
      <w:rPr>
        <w:rFonts w:hint="eastAsia" w:ascii="宋体" w:hAnsi="宋体"/>
        <w:i/>
      </w:rPr>
      <w:t xml:space="preserve">临沂鼎泰招标有限公司                           </w:t>
    </w:r>
    <w:r>
      <w:rPr>
        <w:rFonts w:hint="eastAsia"/>
        <w:i/>
        <w:iCs/>
        <w:szCs w:val="18"/>
      </w:rPr>
      <w:t>临沂市文化和旅游局委托第三方开展旅游统计考核工作项目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90" w:firstLineChars="50"/>
      <w:jc w:val="both"/>
      <w:rPr>
        <w:i/>
        <w:iCs/>
        <w:sz w:val="21"/>
        <w:szCs w:val="21"/>
      </w:rPr>
    </w:pPr>
    <w:r>
      <w:rPr>
        <w:rFonts w:hint="eastAsia" w:ascii="宋体" w:hAnsi="宋体"/>
        <w:i/>
      </w:rPr>
      <w:t xml:space="preserve">临沂鼎泰招标有限公司                                          </w:t>
    </w:r>
    <w:r>
      <w:rPr>
        <w:rFonts w:hint="eastAsia"/>
        <w:i/>
        <w:szCs w:val="18"/>
        <w:lang w:eastAsia="zh-CN"/>
      </w:rPr>
      <w:t>临沂市妇幼保健院院内指示导引系统项目</w:t>
    </w:r>
    <w:r>
      <w:rPr>
        <w:rFonts w:hint="eastAsia"/>
        <w:i/>
        <w:iCs/>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E"/>
    <w:multiLevelType w:val="multilevel"/>
    <w:tmpl w:val="0000000E"/>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4907923"/>
    <w:multiLevelType w:val="singleLevel"/>
    <w:tmpl w:val="04907923"/>
    <w:lvl w:ilvl="0" w:tentative="0">
      <w:start w:val="1"/>
      <w:numFmt w:val="decimal"/>
      <w:lvlText w:val="(%1)"/>
      <w:lvlJc w:val="left"/>
      <w:pPr>
        <w:ind w:left="425" w:hanging="425"/>
      </w:pPr>
      <w:rPr>
        <w:rFonts w:hint="default"/>
      </w:rPr>
    </w:lvl>
  </w:abstractNum>
  <w:abstractNum w:abstractNumId="3">
    <w:nsid w:val="0D3014AE"/>
    <w:multiLevelType w:val="singleLevel"/>
    <w:tmpl w:val="0D3014AE"/>
    <w:lvl w:ilvl="0" w:tentative="0">
      <w:start w:val="1"/>
      <w:numFmt w:val="decimal"/>
      <w:lvlText w:val="%1."/>
      <w:lvlJc w:val="left"/>
      <w:pPr>
        <w:ind w:left="425" w:hanging="425"/>
      </w:pPr>
      <w:rPr>
        <w:rFonts w:hint="default"/>
      </w:rPr>
    </w:lvl>
  </w:abstractNum>
  <w:abstractNum w:abstractNumId="4">
    <w:nsid w:val="10025BAF"/>
    <w:multiLevelType w:val="multilevel"/>
    <w:tmpl w:val="10025BA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51D3037"/>
    <w:multiLevelType w:val="multilevel"/>
    <w:tmpl w:val="151D3037"/>
    <w:lvl w:ilvl="0" w:tentative="0">
      <w:start w:val="1"/>
      <w:numFmt w:val="decimal"/>
      <w:lvlText w:val="%1、"/>
      <w:lvlJc w:val="left"/>
      <w:pPr>
        <w:ind w:left="905"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5BA463D"/>
    <w:multiLevelType w:val="multilevel"/>
    <w:tmpl w:val="15BA463D"/>
    <w:lvl w:ilvl="0" w:tentative="0">
      <w:start w:val="1"/>
      <w:numFmt w:val="decimal"/>
      <w:lvlText w:val="%1、"/>
      <w:lvlJc w:val="left"/>
      <w:pPr>
        <w:ind w:left="926" w:hanging="360"/>
      </w:pPr>
      <w:rPr>
        <w:rFonts w:hint="default"/>
        <w:sz w:val="24"/>
      </w:rPr>
    </w:lvl>
    <w:lvl w:ilvl="1" w:tentative="0">
      <w:start w:val="4"/>
      <w:numFmt w:val="bullet"/>
      <w:lvlText w:val="★"/>
      <w:lvlJc w:val="left"/>
      <w:pPr>
        <w:ind w:left="1346" w:hanging="360"/>
      </w:pPr>
      <w:rPr>
        <w:rFonts w:hint="eastAsia" w:ascii="宋体" w:hAnsi="宋体" w:eastAsia="宋体" w:cs="Times New Roman"/>
      </w:r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7">
    <w:nsid w:val="28284C80"/>
    <w:multiLevelType w:val="multilevel"/>
    <w:tmpl w:val="28284C80"/>
    <w:lvl w:ilvl="0" w:tentative="0">
      <w:start w:val="1"/>
      <w:numFmt w:val="decimal"/>
      <w:lvlText w:val="%1、"/>
      <w:lvlJc w:val="left"/>
      <w:pPr>
        <w:ind w:left="905"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395A896"/>
    <w:multiLevelType w:val="singleLevel"/>
    <w:tmpl w:val="3395A896"/>
    <w:lvl w:ilvl="0" w:tentative="0">
      <w:start w:val="2"/>
      <w:numFmt w:val="decimal"/>
      <w:suff w:val="nothing"/>
      <w:lvlText w:val="%1、"/>
      <w:lvlJc w:val="left"/>
    </w:lvl>
  </w:abstractNum>
  <w:abstractNum w:abstractNumId="9">
    <w:nsid w:val="348164E7"/>
    <w:multiLevelType w:val="multilevel"/>
    <w:tmpl w:val="348164E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40B50F03"/>
    <w:multiLevelType w:val="multilevel"/>
    <w:tmpl w:val="40B50F0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424A462D"/>
    <w:multiLevelType w:val="multilevel"/>
    <w:tmpl w:val="424A462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45964699"/>
    <w:multiLevelType w:val="multilevel"/>
    <w:tmpl w:val="45964699"/>
    <w:lvl w:ilvl="0" w:tentative="0">
      <w:start w:val="1"/>
      <w:numFmt w:val="lowerLetter"/>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475C5446"/>
    <w:multiLevelType w:val="multilevel"/>
    <w:tmpl w:val="475C544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49434F80"/>
    <w:multiLevelType w:val="multilevel"/>
    <w:tmpl w:val="49434F8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A05744A"/>
    <w:multiLevelType w:val="multilevel"/>
    <w:tmpl w:val="4A05744A"/>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FB02ECC"/>
    <w:multiLevelType w:val="singleLevel"/>
    <w:tmpl w:val="4FB02ECC"/>
    <w:lvl w:ilvl="0" w:tentative="0">
      <w:start w:val="3"/>
      <w:numFmt w:val="decimal"/>
      <w:suff w:val="nothing"/>
      <w:lvlText w:val="%1）"/>
      <w:lvlJc w:val="left"/>
    </w:lvl>
  </w:abstractNum>
  <w:abstractNum w:abstractNumId="17">
    <w:nsid w:val="680553CA"/>
    <w:multiLevelType w:val="multilevel"/>
    <w:tmpl w:val="680553CA"/>
    <w:lvl w:ilvl="0" w:tentative="0">
      <w:start w:val="1"/>
      <w:numFmt w:val="decimal"/>
      <w:lvlText w:val="%1)"/>
      <w:lvlJc w:val="left"/>
      <w:pPr>
        <w:tabs>
          <w:tab w:val="left" w:pos="420"/>
        </w:tabs>
        <w:ind w:left="420" w:hanging="420"/>
      </w:pPr>
    </w:lvl>
    <w:lvl w:ilvl="1" w:tentative="0">
      <w:start w:val="1"/>
      <w:numFmt w:val="japaneseCounting"/>
      <w:lvlText w:val="第%2章"/>
      <w:lvlJc w:val="left"/>
      <w:pPr>
        <w:tabs>
          <w:tab w:val="left" w:pos="1860"/>
        </w:tabs>
        <w:ind w:left="1860" w:hanging="9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6E146734"/>
    <w:multiLevelType w:val="singleLevel"/>
    <w:tmpl w:val="6E146734"/>
    <w:lvl w:ilvl="0" w:tentative="0">
      <w:start w:val="2"/>
      <w:numFmt w:val="chineseCounting"/>
      <w:suff w:val="nothing"/>
      <w:lvlText w:val="%1、"/>
      <w:lvlJc w:val="left"/>
      <w:rPr>
        <w:rFonts w:hint="eastAsia"/>
      </w:rPr>
    </w:lvl>
  </w:abstractNum>
  <w:abstractNum w:abstractNumId="19">
    <w:nsid w:val="73EC65A1"/>
    <w:multiLevelType w:val="multilevel"/>
    <w:tmpl w:val="73EC65A1"/>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lowerLetter"/>
      <w:lvlText w:val="%4."/>
      <w:lvlJc w:val="left"/>
      <w:pPr>
        <w:tabs>
          <w:tab w:val="left" w:pos="2100"/>
        </w:tabs>
        <w:ind w:left="2100" w:hanging="360"/>
      </w:pPr>
      <w:rPr>
        <w:rFonts w:hint="eastAsia"/>
      </w:rPr>
    </w:lvl>
    <w:lvl w:ilvl="4" w:tentative="0">
      <w:start w:val="2"/>
      <w:numFmt w:val="decimal"/>
      <w:lvlText w:val="%5）"/>
      <w:lvlJc w:val="left"/>
      <w:pPr>
        <w:tabs>
          <w:tab w:val="left" w:pos="2520"/>
        </w:tabs>
        <w:ind w:left="2520" w:hanging="360"/>
      </w:pPr>
      <w:rPr>
        <w:rFonts w:hint="default"/>
      </w:rPr>
    </w:lvl>
    <w:lvl w:ilvl="5" w:tentative="0">
      <w:start w:val="2"/>
      <w:numFmt w:val="decimal"/>
      <w:lvlText w:val="%6、"/>
      <w:lvlJc w:val="left"/>
      <w:pPr>
        <w:tabs>
          <w:tab w:val="left" w:pos="2940"/>
        </w:tabs>
        <w:ind w:left="2940" w:hanging="360"/>
      </w:pPr>
      <w:rPr>
        <w:rFonts w:hint="default"/>
        <w:u w:val="none"/>
      </w:r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7B19641E"/>
    <w:multiLevelType w:val="singleLevel"/>
    <w:tmpl w:val="7B19641E"/>
    <w:lvl w:ilvl="0" w:tentative="0">
      <w:start w:val="1"/>
      <w:numFmt w:val="decimal"/>
      <w:suff w:val="nothing"/>
      <w:lvlText w:val="%1、"/>
      <w:lvlJc w:val="left"/>
    </w:lvl>
  </w:abstractNum>
  <w:num w:numId="1">
    <w:abstractNumId w:val="18"/>
  </w:num>
  <w:num w:numId="2">
    <w:abstractNumId w:val="1"/>
  </w:num>
  <w:num w:numId="3">
    <w:abstractNumId w:val="17"/>
  </w:num>
  <w:num w:numId="4">
    <w:abstractNumId w:val="19"/>
  </w:num>
  <w:num w:numId="5">
    <w:abstractNumId w:val="12"/>
  </w:num>
  <w:num w:numId="6">
    <w:abstractNumId w:val="0"/>
  </w:num>
  <w:num w:numId="7">
    <w:abstractNumId w:val="20"/>
  </w:num>
  <w:num w:numId="8">
    <w:abstractNumId w:val="2"/>
  </w:num>
  <w:num w:numId="9">
    <w:abstractNumId w:val="16"/>
  </w:num>
  <w:num w:numId="10">
    <w:abstractNumId w:val="8"/>
  </w:num>
  <w:num w:numId="11">
    <w:abstractNumId w:val="9"/>
  </w:num>
  <w:num w:numId="12">
    <w:abstractNumId w:val="4"/>
  </w:num>
  <w:num w:numId="13">
    <w:abstractNumId w:val="11"/>
  </w:num>
  <w:num w:numId="14">
    <w:abstractNumId w:val="13"/>
  </w:num>
  <w:num w:numId="15">
    <w:abstractNumId w:val="5"/>
  </w:num>
  <w:num w:numId="16">
    <w:abstractNumId w:val="7"/>
  </w:num>
  <w:num w:numId="17">
    <w:abstractNumId w:val="6"/>
  </w:num>
  <w:num w:numId="18">
    <w:abstractNumId w:val="10"/>
  </w:num>
  <w:num w:numId="19">
    <w:abstractNumId w:val="14"/>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C5A"/>
    <w:rsid w:val="00000D0F"/>
    <w:rsid w:val="00001C94"/>
    <w:rsid w:val="0000279E"/>
    <w:rsid w:val="00002805"/>
    <w:rsid w:val="000033BA"/>
    <w:rsid w:val="0000355C"/>
    <w:rsid w:val="0000364E"/>
    <w:rsid w:val="00003C07"/>
    <w:rsid w:val="0000542D"/>
    <w:rsid w:val="00005ED3"/>
    <w:rsid w:val="0000603D"/>
    <w:rsid w:val="000064EF"/>
    <w:rsid w:val="00006D4D"/>
    <w:rsid w:val="00007C08"/>
    <w:rsid w:val="00007D22"/>
    <w:rsid w:val="00011560"/>
    <w:rsid w:val="00011C14"/>
    <w:rsid w:val="0001280F"/>
    <w:rsid w:val="000128C3"/>
    <w:rsid w:val="00013B1F"/>
    <w:rsid w:val="00013BA0"/>
    <w:rsid w:val="000164C8"/>
    <w:rsid w:val="0001683E"/>
    <w:rsid w:val="0001783F"/>
    <w:rsid w:val="00017D5B"/>
    <w:rsid w:val="00021AFE"/>
    <w:rsid w:val="0002478C"/>
    <w:rsid w:val="00024F87"/>
    <w:rsid w:val="000266B5"/>
    <w:rsid w:val="00026765"/>
    <w:rsid w:val="00027E66"/>
    <w:rsid w:val="0003262A"/>
    <w:rsid w:val="00032AF4"/>
    <w:rsid w:val="000332F0"/>
    <w:rsid w:val="0003358D"/>
    <w:rsid w:val="000336E1"/>
    <w:rsid w:val="0003446A"/>
    <w:rsid w:val="00036978"/>
    <w:rsid w:val="0003744E"/>
    <w:rsid w:val="000400AB"/>
    <w:rsid w:val="00040AB6"/>
    <w:rsid w:val="000425C4"/>
    <w:rsid w:val="000429DD"/>
    <w:rsid w:val="00042BD8"/>
    <w:rsid w:val="00043445"/>
    <w:rsid w:val="00044372"/>
    <w:rsid w:val="00044941"/>
    <w:rsid w:val="00045514"/>
    <w:rsid w:val="00051A9B"/>
    <w:rsid w:val="0005204B"/>
    <w:rsid w:val="000522AC"/>
    <w:rsid w:val="00053153"/>
    <w:rsid w:val="0005464B"/>
    <w:rsid w:val="00054C09"/>
    <w:rsid w:val="000563F8"/>
    <w:rsid w:val="0005648D"/>
    <w:rsid w:val="00056BF1"/>
    <w:rsid w:val="00056F5C"/>
    <w:rsid w:val="00060CCB"/>
    <w:rsid w:val="00062995"/>
    <w:rsid w:val="00063340"/>
    <w:rsid w:val="00064B91"/>
    <w:rsid w:val="000652C8"/>
    <w:rsid w:val="000654B9"/>
    <w:rsid w:val="000661AA"/>
    <w:rsid w:val="00070395"/>
    <w:rsid w:val="00070B9E"/>
    <w:rsid w:val="00074C9C"/>
    <w:rsid w:val="00074D5E"/>
    <w:rsid w:val="00076E71"/>
    <w:rsid w:val="00077AB7"/>
    <w:rsid w:val="000802FE"/>
    <w:rsid w:val="00082B93"/>
    <w:rsid w:val="0008464C"/>
    <w:rsid w:val="00084C98"/>
    <w:rsid w:val="00085AD7"/>
    <w:rsid w:val="000907D4"/>
    <w:rsid w:val="00090D1B"/>
    <w:rsid w:val="00090FFD"/>
    <w:rsid w:val="00091A9A"/>
    <w:rsid w:val="00091C15"/>
    <w:rsid w:val="00091C39"/>
    <w:rsid w:val="00091D9D"/>
    <w:rsid w:val="00092380"/>
    <w:rsid w:val="00092514"/>
    <w:rsid w:val="00093696"/>
    <w:rsid w:val="000938BE"/>
    <w:rsid w:val="000946A4"/>
    <w:rsid w:val="00094AD3"/>
    <w:rsid w:val="00095091"/>
    <w:rsid w:val="00097AB9"/>
    <w:rsid w:val="000A0FBB"/>
    <w:rsid w:val="000A2A08"/>
    <w:rsid w:val="000A2CDE"/>
    <w:rsid w:val="000A5FCA"/>
    <w:rsid w:val="000B03FA"/>
    <w:rsid w:val="000B093C"/>
    <w:rsid w:val="000B0BB0"/>
    <w:rsid w:val="000B1920"/>
    <w:rsid w:val="000B20C6"/>
    <w:rsid w:val="000B27C0"/>
    <w:rsid w:val="000B2F7B"/>
    <w:rsid w:val="000B3A1D"/>
    <w:rsid w:val="000B47A5"/>
    <w:rsid w:val="000B4DDA"/>
    <w:rsid w:val="000B51D6"/>
    <w:rsid w:val="000B57F4"/>
    <w:rsid w:val="000B5BB2"/>
    <w:rsid w:val="000C2134"/>
    <w:rsid w:val="000C2507"/>
    <w:rsid w:val="000C3888"/>
    <w:rsid w:val="000C44D9"/>
    <w:rsid w:val="000C4C40"/>
    <w:rsid w:val="000C501E"/>
    <w:rsid w:val="000C51CB"/>
    <w:rsid w:val="000C533D"/>
    <w:rsid w:val="000C5A92"/>
    <w:rsid w:val="000C5B00"/>
    <w:rsid w:val="000C6548"/>
    <w:rsid w:val="000C71D3"/>
    <w:rsid w:val="000C75EF"/>
    <w:rsid w:val="000D00E6"/>
    <w:rsid w:val="000D041B"/>
    <w:rsid w:val="000D0565"/>
    <w:rsid w:val="000D25FB"/>
    <w:rsid w:val="000D39E4"/>
    <w:rsid w:val="000D6212"/>
    <w:rsid w:val="000D6F4F"/>
    <w:rsid w:val="000D7657"/>
    <w:rsid w:val="000D79E0"/>
    <w:rsid w:val="000E21D6"/>
    <w:rsid w:val="000E28C7"/>
    <w:rsid w:val="000E310C"/>
    <w:rsid w:val="000E4B37"/>
    <w:rsid w:val="000E7A5F"/>
    <w:rsid w:val="000F0B8E"/>
    <w:rsid w:val="000F241F"/>
    <w:rsid w:val="000F3A17"/>
    <w:rsid w:val="000F424A"/>
    <w:rsid w:val="000F4FEC"/>
    <w:rsid w:val="000F6558"/>
    <w:rsid w:val="000F6BA8"/>
    <w:rsid w:val="000F6BBF"/>
    <w:rsid w:val="000F7DC2"/>
    <w:rsid w:val="001004A6"/>
    <w:rsid w:val="0010104B"/>
    <w:rsid w:val="00101F2B"/>
    <w:rsid w:val="00103166"/>
    <w:rsid w:val="00103509"/>
    <w:rsid w:val="001043F2"/>
    <w:rsid w:val="001053CF"/>
    <w:rsid w:val="00106E5A"/>
    <w:rsid w:val="00106FCF"/>
    <w:rsid w:val="00110C90"/>
    <w:rsid w:val="00111496"/>
    <w:rsid w:val="00112CA1"/>
    <w:rsid w:val="00120545"/>
    <w:rsid w:val="001212C9"/>
    <w:rsid w:val="00121FB2"/>
    <w:rsid w:val="001222EB"/>
    <w:rsid w:val="0012315E"/>
    <w:rsid w:val="001243CE"/>
    <w:rsid w:val="00124D8D"/>
    <w:rsid w:val="001278F8"/>
    <w:rsid w:val="00127B5B"/>
    <w:rsid w:val="001309EF"/>
    <w:rsid w:val="00130F6D"/>
    <w:rsid w:val="001320FF"/>
    <w:rsid w:val="00133602"/>
    <w:rsid w:val="0013423D"/>
    <w:rsid w:val="00134A7A"/>
    <w:rsid w:val="0013578E"/>
    <w:rsid w:val="0013705A"/>
    <w:rsid w:val="0014133D"/>
    <w:rsid w:val="001418D1"/>
    <w:rsid w:val="00141BFD"/>
    <w:rsid w:val="00142148"/>
    <w:rsid w:val="00143193"/>
    <w:rsid w:val="00143DEA"/>
    <w:rsid w:val="00144719"/>
    <w:rsid w:val="00144E03"/>
    <w:rsid w:val="00146B59"/>
    <w:rsid w:val="00146F09"/>
    <w:rsid w:val="00147683"/>
    <w:rsid w:val="001501A7"/>
    <w:rsid w:val="00150206"/>
    <w:rsid w:val="00150604"/>
    <w:rsid w:val="00150E75"/>
    <w:rsid w:val="00150E92"/>
    <w:rsid w:val="00151C29"/>
    <w:rsid w:val="00151E8C"/>
    <w:rsid w:val="0015323A"/>
    <w:rsid w:val="00153BEC"/>
    <w:rsid w:val="00153E4C"/>
    <w:rsid w:val="00154755"/>
    <w:rsid w:val="00154A5B"/>
    <w:rsid w:val="001550ED"/>
    <w:rsid w:val="00155577"/>
    <w:rsid w:val="00155ECD"/>
    <w:rsid w:val="001562B2"/>
    <w:rsid w:val="00157917"/>
    <w:rsid w:val="0016071F"/>
    <w:rsid w:val="00161270"/>
    <w:rsid w:val="00161435"/>
    <w:rsid w:val="00162D0B"/>
    <w:rsid w:val="00164CC8"/>
    <w:rsid w:val="00167AE5"/>
    <w:rsid w:val="00170F08"/>
    <w:rsid w:val="00172A27"/>
    <w:rsid w:val="00172CFA"/>
    <w:rsid w:val="001732FD"/>
    <w:rsid w:val="00173D62"/>
    <w:rsid w:val="00174CB9"/>
    <w:rsid w:val="00174DA2"/>
    <w:rsid w:val="0017511A"/>
    <w:rsid w:val="00175C58"/>
    <w:rsid w:val="00177A5F"/>
    <w:rsid w:val="00177CDB"/>
    <w:rsid w:val="0018176D"/>
    <w:rsid w:val="00182E64"/>
    <w:rsid w:val="001844DF"/>
    <w:rsid w:val="00187CB6"/>
    <w:rsid w:val="00190694"/>
    <w:rsid w:val="00190BD9"/>
    <w:rsid w:val="00191432"/>
    <w:rsid w:val="00194509"/>
    <w:rsid w:val="001953A9"/>
    <w:rsid w:val="0019557B"/>
    <w:rsid w:val="00196895"/>
    <w:rsid w:val="001973AB"/>
    <w:rsid w:val="001A0158"/>
    <w:rsid w:val="001A0A8F"/>
    <w:rsid w:val="001A3056"/>
    <w:rsid w:val="001A3DD3"/>
    <w:rsid w:val="001A6C2D"/>
    <w:rsid w:val="001A7278"/>
    <w:rsid w:val="001A793A"/>
    <w:rsid w:val="001B2EC0"/>
    <w:rsid w:val="001B3617"/>
    <w:rsid w:val="001B434A"/>
    <w:rsid w:val="001B4B28"/>
    <w:rsid w:val="001B62C5"/>
    <w:rsid w:val="001B6550"/>
    <w:rsid w:val="001B7ABF"/>
    <w:rsid w:val="001B7E33"/>
    <w:rsid w:val="001C0F63"/>
    <w:rsid w:val="001C1583"/>
    <w:rsid w:val="001C2AE2"/>
    <w:rsid w:val="001C32CF"/>
    <w:rsid w:val="001C4F64"/>
    <w:rsid w:val="001C607D"/>
    <w:rsid w:val="001C6CB8"/>
    <w:rsid w:val="001C70ED"/>
    <w:rsid w:val="001D00F8"/>
    <w:rsid w:val="001D5EED"/>
    <w:rsid w:val="001D6D0C"/>
    <w:rsid w:val="001D6FE8"/>
    <w:rsid w:val="001D7A86"/>
    <w:rsid w:val="001E0151"/>
    <w:rsid w:val="001E0219"/>
    <w:rsid w:val="001E059B"/>
    <w:rsid w:val="001E0B68"/>
    <w:rsid w:val="001E1728"/>
    <w:rsid w:val="001E21B2"/>
    <w:rsid w:val="001E2EC8"/>
    <w:rsid w:val="001E3635"/>
    <w:rsid w:val="001E5783"/>
    <w:rsid w:val="001E5808"/>
    <w:rsid w:val="001E725C"/>
    <w:rsid w:val="001E7F51"/>
    <w:rsid w:val="001F04B9"/>
    <w:rsid w:val="001F23EE"/>
    <w:rsid w:val="001F2491"/>
    <w:rsid w:val="001F2D4D"/>
    <w:rsid w:val="001F37D0"/>
    <w:rsid w:val="001F407A"/>
    <w:rsid w:val="001F45A6"/>
    <w:rsid w:val="001F4D87"/>
    <w:rsid w:val="001F52E0"/>
    <w:rsid w:val="00201847"/>
    <w:rsid w:val="00201F9A"/>
    <w:rsid w:val="00203FE0"/>
    <w:rsid w:val="00204BC2"/>
    <w:rsid w:val="00204C14"/>
    <w:rsid w:val="00205F0B"/>
    <w:rsid w:val="002106FE"/>
    <w:rsid w:val="00210B2A"/>
    <w:rsid w:val="00212CDC"/>
    <w:rsid w:val="00212DE9"/>
    <w:rsid w:val="00213632"/>
    <w:rsid w:val="002158D3"/>
    <w:rsid w:val="002161D2"/>
    <w:rsid w:val="00216EDB"/>
    <w:rsid w:val="00217D20"/>
    <w:rsid w:val="002220ED"/>
    <w:rsid w:val="00223679"/>
    <w:rsid w:val="00223B06"/>
    <w:rsid w:val="002246A3"/>
    <w:rsid w:val="00225149"/>
    <w:rsid w:val="00226005"/>
    <w:rsid w:val="00231ED3"/>
    <w:rsid w:val="00233537"/>
    <w:rsid w:val="00234870"/>
    <w:rsid w:val="00234EE2"/>
    <w:rsid w:val="0023504A"/>
    <w:rsid w:val="00236655"/>
    <w:rsid w:val="00237E2D"/>
    <w:rsid w:val="00241331"/>
    <w:rsid w:val="00241B68"/>
    <w:rsid w:val="00243B5B"/>
    <w:rsid w:val="00245C80"/>
    <w:rsid w:val="00247446"/>
    <w:rsid w:val="00247787"/>
    <w:rsid w:val="002478BD"/>
    <w:rsid w:val="00250272"/>
    <w:rsid w:val="002512FB"/>
    <w:rsid w:val="002518C3"/>
    <w:rsid w:val="00252181"/>
    <w:rsid w:val="002521CC"/>
    <w:rsid w:val="0025240E"/>
    <w:rsid w:val="00253976"/>
    <w:rsid w:val="00254314"/>
    <w:rsid w:val="002551AB"/>
    <w:rsid w:val="00255BE5"/>
    <w:rsid w:val="00255ECF"/>
    <w:rsid w:val="00256881"/>
    <w:rsid w:val="00256BCC"/>
    <w:rsid w:val="00256FBA"/>
    <w:rsid w:val="00260266"/>
    <w:rsid w:val="0026216A"/>
    <w:rsid w:val="00264358"/>
    <w:rsid w:val="002645CF"/>
    <w:rsid w:val="00265088"/>
    <w:rsid w:val="00266795"/>
    <w:rsid w:val="002670FA"/>
    <w:rsid w:val="00270A98"/>
    <w:rsid w:val="00270E8F"/>
    <w:rsid w:val="00273B92"/>
    <w:rsid w:val="00274512"/>
    <w:rsid w:val="00277F7D"/>
    <w:rsid w:val="0028305B"/>
    <w:rsid w:val="0028463F"/>
    <w:rsid w:val="00285ADE"/>
    <w:rsid w:val="00285D06"/>
    <w:rsid w:val="0028610F"/>
    <w:rsid w:val="00290247"/>
    <w:rsid w:val="00290FC8"/>
    <w:rsid w:val="0029391A"/>
    <w:rsid w:val="00294BB2"/>
    <w:rsid w:val="00295F72"/>
    <w:rsid w:val="00297F93"/>
    <w:rsid w:val="002A2A41"/>
    <w:rsid w:val="002A6EB8"/>
    <w:rsid w:val="002A72DE"/>
    <w:rsid w:val="002A767B"/>
    <w:rsid w:val="002B0930"/>
    <w:rsid w:val="002B2769"/>
    <w:rsid w:val="002B38F6"/>
    <w:rsid w:val="002B4EAA"/>
    <w:rsid w:val="002B6792"/>
    <w:rsid w:val="002B6B59"/>
    <w:rsid w:val="002B7AD2"/>
    <w:rsid w:val="002C02B3"/>
    <w:rsid w:val="002C0589"/>
    <w:rsid w:val="002C06E1"/>
    <w:rsid w:val="002C1073"/>
    <w:rsid w:val="002C10F4"/>
    <w:rsid w:val="002C3FFE"/>
    <w:rsid w:val="002C4EA9"/>
    <w:rsid w:val="002C7C2D"/>
    <w:rsid w:val="002D00BA"/>
    <w:rsid w:val="002D0DB9"/>
    <w:rsid w:val="002D1490"/>
    <w:rsid w:val="002D151E"/>
    <w:rsid w:val="002D15FA"/>
    <w:rsid w:val="002D254C"/>
    <w:rsid w:val="002D5748"/>
    <w:rsid w:val="002D628E"/>
    <w:rsid w:val="002E1024"/>
    <w:rsid w:val="002E2776"/>
    <w:rsid w:val="002E346C"/>
    <w:rsid w:val="002E421D"/>
    <w:rsid w:val="002E4D0E"/>
    <w:rsid w:val="002E511F"/>
    <w:rsid w:val="002E67E3"/>
    <w:rsid w:val="002E69A9"/>
    <w:rsid w:val="002E6A5A"/>
    <w:rsid w:val="002E7009"/>
    <w:rsid w:val="002F024C"/>
    <w:rsid w:val="002F2CF1"/>
    <w:rsid w:val="002F2E4B"/>
    <w:rsid w:val="002F3754"/>
    <w:rsid w:val="002F3818"/>
    <w:rsid w:val="002F407D"/>
    <w:rsid w:val="002F4ACA"/>
    <w:rsid w:val="002F4B26"/>
    <w:rsid w:val="002F5126"/>
    <w:rsid w:val="002F5A02"/>
    <w:rsid w:val="002F762B"/>
    <w:rsid w:val="002F7824"/>
    <w:rsid w:val="002F7988"/>
    <w:rsid w:val="002F7B0B"/>
    <w:rsid w:val="003000AA"/>
    <w:rsid w:val="003005FC"/>
    <w:rsid w:val="00300B5F"/>
    <w:rsid w:val="003013E7"/>
    <w:rsid w:val="00301D2E"/>
    <w:rsid w:val="00303392"/>
    <w:rsid w:val="00303DAE"/>
    <w:rsid w:val="00305E7E"/>
    <w:rsid w:val="00305FA4"/>
    <w:rsid w:val="00306485"/>
    <w:rsid w:val="00310DE6"/>
    <w:rsid w:val="00311382"/>
    <w:rsid w:val="00311F9E"/>
    <w:rsid w:val="00312891"/>
    <w:rsid w:val="00326D7D"/>
    <w:rsid w:val="00327017"/>
    <w:rsid w:val="003278CB"/>
    <w:rsid w:val="00330BDD"/>
    <w:rsid w:val="0033161B"/>
    <w:rsid w:val="003326E6"/>
    <w:rsid w:val="003357FB"/>
    <w:rsid w:val="003367DA"/>
    <w:rsid w:val="0033739E"/>
    <w:rsid w:val="00337C7D"/>
    <w:rsid w:val="00342142"/>
    <w:rsid w:val="003431C5"/>
    <w:rsid w:val="00346796"/>
    <w:rsid w:val="003475F2"/>
    <w:rsid w:val="00347C57"/>
    <w:rsid w:val="00351766"/>
    <w:rsid w:val="00351E11"/>
    <w:rsid w:val="00353221"/>
    <w:rsid w:val="00353451"/>
    <w:rsid w:val="003545EF"/>
    <w:rsid w:val="00355B76"/>
    <w:rsid w:val="00355EEB"/>
    <w:rsid w:val="0035601A"/>
    <w:rsid w:val="0036174F"/>
    <w:rsid w:val="0036190F"/>
    <w:rsid w:val="00361B70"/>
    <w:rsid w:val="00362CE2"/>
    <w:rsid w:val="00364A00"/>
    <w:rsid w:val="00364CC1"/>
    <w:rsid w:val="00364E71"/>
    <w:rsid w:val="00366611"/>
    <w:rsid w:val="00366A72"/>
    <w:rsid w:val="0036784B"/>
    <w:rsid w:val="00370B2F"/>
    <w:rsid w:val="00371B15"/>
    <w:rsid w:val="00373698"/>
    <w:rsid w:val="00376499"/>
    <w:rsid w:val="003774DA"/>
    <w:rsid w:val="003775FC"/>
    <w:rsid w:val="00377C18"/>
    <w:rsid w:val="00377DB0"/>
    <w:rsid w:val="0038145E"/>
    <w:rsid w:val="0038202C"/>
    <w:rsid w:val="00382CB7"/>
    <w:rsid w:val="0038376A"/>
    <w:rsid w:val="0038386C"/>
    <w:rsid w:val="00383D6F"/>
    <w:rsid w:val="003854B5"/>
    <w:rsid w:val="003857E1"/>
    <w:rsid w:val="00385D90"/>
    <w:rsid w:val="003861BB"/>
    <w:rsid w:val="003862F2"/>
    <w:rsid w:val="00392835"/>
    <w:rsid w:val="00392B22"/>
    <w:rsid w:val="00394370"/>
    <w:rsid w:val="00397040"/>
    <w:rsid w:val="00397B39"/>
    <w:rsid w:val="00397D37"/>
    <w:rsid w:val="003A12A6"/>
    <w:rsid w:val="003A29CA"/>
    <w:rsid w:val="003A3187"/>
    <w:rsid w:val="003A35F6"/>
    <w:rsid w:val="003A4D08"/>
    <w:rsid w:val="003A58BD"/>
    <w:rsid w:val="003A6DFF"/>
    <w:rsid w:val="003B5A5B"/>
    <w:rsid w:val="003C0C52"/>
    <w:rsid w:val="003C19E0"/>
    <w:rsid w:val="003C2FDB"/>
    <w:rsid w:val="003C35C1"/>
    <w:rsid w:val="003C3640"/>
    <w:rsid w:val="003C3992"/>
    <w:rsid w:val="003C42F2"/>
    <w:rsid w:val="003C4D33"/>
    <w:rsid w:val="003C7517"/>
    <w:rsid w:val="003C767F"/>
    <w:rsid w:val="003D0668"/>
    <w:rsid w:val="003D0AA2"/>
    <w:rsid w:val="003D2BE9"/>
    <w:rsid w:val="003D3AB1"/>
    <w:rsid w:val="003D437B"/>
    <w:rsid w:val="003D48C7"/>
    <w:rsid w:val="003D5BC4"/>
    <w:rsid w:val="003E1043"/>
    <w:rsid w:val="003E11F3"/>
    <w:rsid w:val="003E1B0F"/>
    <w:rsid w:val="003E2968"/>
    <w:rsid w:val="003E789B"/>
    <w:rsid w:val="003F020C"/>
    <w:rsid w:val="003F103B"/>
    <w:rsid w:val="003F2008"/>
    <w:rsid w:val="003F258B"/>
    <w:rsid w:val="003F5274"/>
    <w:rsid w:val="003F5784"/>
    <w:rsid w:val="004009ED"/>
    <w:rsid w:val="00400BFA"/>
    <w:rsid w:val="00400E20"/>
    <w:rsid w:val="00403107"/>
    <w:rsid w:val="004035C8"/>
    <w:rsid w:val="004039D6"/>
    <w:rsid w:val="004046CB"/>
    <w:rsid w:val="0040487D"/>
    <w:rsid w:val="00405282"/>
    <w:rsid w:val="00405420"/>
    <w:rsid w:val="0040545E"/>
    <w:rsid w:val="00406061"/>
    <w:rsid w:val="004070C8"/>
    <w:rsid w:val="00410636"/>
    <w:rsid w:val="0041181D"/>
    <w:rsid w:val="00411B9B"/>
    <w:rsid w:val="004124ED"/>
    <w:rsid w:val="0041274C"/>
    <w:rsid w:val="00412A08"/>
    <w:rsid w:val="0041326B"/>
    <w:rsid w:val="00415207"/>
    <w:rsid w:val="00415F36"/>
    <w:rsid w:val="004166BB"/>
    <w:rsid w:val="00420B74"/>
    <w:rsid w:val="0042274F"/>
    <w:rsid w:val="004231A0"/>
    <w:rsid w:val="004231DF"/>
    <w:rsid w:val="004253DE"/>
    <w:rsid w:val="00425645"/>
    <w:rsid w:val="0042707F"/>
    <w:rsid w:val="00430125"/>
    <w:rsid w:val="00430E8A"/>
    <w:rsid w:val="00432A80"/>
    <w:rsid w:val="00433BA0"/>
    <w:rsid w:val="004351A6"/>
    <w:rsid w:val="004351B3"/>
    <w:rsid w:val="00437823"/>
    <w:rsid w:val="00437EB8"/>
    <w:rsid w:val="004403AB"/>
    <w:rsid w:val="0044092A"/>
    <w:rsid w:val="004409A7"/>
    <w:rsid w:val="00441806"/>
    <w:rsid w:val="00441EE4"/>
    <w:rsid w:val="00442B93"/>
    <w:rsid w:val="00442EFB"/>
    <w:rsid w:val="004443A9"/>
    <w:rsid w:val="004445ED"/>
    <w:rsid w:val="00447AE1"/>
    <w:rsid w:val="00447F6B"/>
    <w:rsid w:val="0045106F"/>
    <w:rsid w:val="0045171C"/>
    <w:rsid w:val="00451E4C"/>
    <w:rsid w:val="00451F8F"/>
    <w:rsid w:val="0045300C"/>
    <w:rsid w:val="0045316C"/>
    <w:rsid w:val="00453D3A"/>
    <w:rsid w:val="00453E3B"/>
    <w:rsid w:val="004549FC"/>
    <w:rsid w:val="0045765F"/>
    <w:rsid w:val="00457677"/>
    <w:rsid w:val="0046072A"/>
    <w:rsid w:val="00460BA5"/>
    <w:rsid w:val="00463100"/>
    <w:rsid w:val="004637C9"/>
    <w:rsid w:val="004647E9"/>
    <w:rsid w:val="00467259"/>
    <w:rsid w:val="00470448"/>
    <w:rsid w:val="004706C9"/>
    <w:rsid w:val="0047191B"/>
    <w:rsid w:val="0047193E"/>
    <w:rsid w:val="004726B9"/>
    <w:rsid w:val="00473379"/>
    <w:rsid w:val="00473AE4"/>
    <w:rsid w:val="0047521E"/>
    <w:rsid w:val="00475AEC"/>
    <w:rsid w:val="00475B3F"/>
    <w:rsid w:val="00476269"/>
    <w:rsid w:val="004763E2"/>
    <w:rsid w:val="004764B7"/>
    <w:rsid w:val="00477362"/>
    <w:rsid w:val="004773D8"/>
    <w:rsid w:val="004777EB"/>
    <w:rsid w:val="004805BB"/>
    <w:rsid w:val="00480B30"/>
    <w:rsid w:val="004827DE"/>
    <w:rsid w:val="004829BA"/>
    <w:rsid w:val="00482E9E"/>
    <w:rsid w:val="00482EBC"/>
    <w:rsid w:val="00484B66"/>
    <w:rsid w:val="0048682F"/>
    <w:rsid w:val="00491333"/>
    <w:rsid w:val="00492DC3"/>
    <w:rsid w:val="0049307F"/>
    <w:rsid w:val="004931A8"/>
    <w:rsid w:val="0049378D"/>
    <w:rsid w:val="0049437C"/>
    <w:rsid w:val="00494472"/>
    <w:rsid w:val="004946FA"/>
    <w:rsid w:val="00495468"/>
    <w:rsid w:val="00495BCE"/>
    <w:rsid w:val="00497F06"/>
    <w:rsid w:val="004A114B"/>
    <w:rsid w:val="004A1C2D"/>
    <w:rsid w:val="004A329E"/>
    <w:rsid w:val="004A385F"/>
    <w:rsid w:val="004A4430"/>
    <w:rsid w:val="004A5A6E"/>
    <w:rsid w:val="004A5C36"/>
    <w:rsid w:val="004A621C"/>
    <w:rsid w:val="004A77DA"/>
    <w:rsid w:val="004B0110"/>
    <w:rsid w:val="004B0208"/>
    <w:rsid w:val="004B054F"/>
    <w:rsid w:val="004B0A0F"/>
    <w:rsid w:val="004B0AD7"/>
    <w:rsid w:val="004B1887"/>
    <w:rsid w:val="004B57F7"/>
    <w:rsid w:val="004C1156"/>
    <w:rsid w:val="004C1E2E"/>
    <w:rsid w:val="004C46A3"/>
    <w:rsid w:val="004C5945"/>
    <w:rsid w:val="004C67D6"/>
    <w:rsid w:val="004C7991"/>
    <w:rsid w:val="004D16CA"/>
    <w:rsid w:val="004D1A83"/>
    <w:rsid w:val="004D1DA1"/>
    <w:rsid w:val="004D2176"/>
    <w:rsid w:val="004D33AD"/>
    <w:rsid w:val="004D3438"/>
    <w:rsid w:val="004D3750"/>
    <w:rsid w:val="004D4CF4"/>
    <w:rsid w:val="004D4F35"/>
    <w:rsid w:val="004D610B"/>
    <w:rsid w:val="004E10D3"/>
    <w:rsid w:val="004E1A39"/>
    <w:rsid w:val="004E2CD1"/>
    <w:rsid w:val="004E31F3"/>
    <w:rsid w:val="004E527F"/>
    <w:rsid w:val="004E7875"/>
    <w:rsid w:val="004F0887"/>
    <w:rsid w:val="004F21E8"/>
    <w:rsid w:val="004F226F"/>
    <w:rsid w:val="004F2969"/>
    <w:rsid w:val="004F2E6E"/>
    <w:rsid w:val="004F329F"/>
    <w:rsid w:val="004F37A5"/>
    <w:rsid w:val="004F4CB7"/>
    <w:rsid w:val="004F5036"/>
    <w:rsid w:val="004F6BBE"/>
    <w:rsid w:val="004F7224"/>
    <w:rsid w:val="004F79D1"/>
    <w:rsid w:val="004F7C94"/>
    <w:rsid w:val="00500340"/>
    <w:rsid w:val="00500571"/>
    <w:rsid w:val="005005D9"/>
    <w:rsid w:val="005007BD"/>
    <w:rsid w:val="00501831"/>
    <w:rsid w:val="00502409"/>
    <w:rsid w:val="0050281A"/>
    <w:rsid w:val="00502DD3"/>
    <w:rsid w:val="005030AC"/>
    <w:rsid w:val="0050322E"/>
    <w:rsid w:val="00504E5F"/>
    <w:rsid w:val="00505970"/>
    <w:rsid w:val="00506216"/>
    <w:rsid w:val="00507AFC"/>
    <w:rsid w:val="005101B7"/>
    <w:rsid w:val="00511A90"/>
    <w:rsid w:val="00511BBB"/>
    <w:rsid w:val="00511E7D"/>
    <w:rsid w:val="005124F9"/>
    <w:rsid w:val="00513146"/>
    <w:rsid w:val="005132D5"/>
    <w:rsid w:val="00516965"/>
    <w:rsid w:val="00516A38"/>
    <w:rsid w:val="005174CB"/>
    <w:rsid w:val="005206F1"/>
    <w:rsid w:val="005207C9"/>
    <w:rsid w:val="0052095E"/>
    <w:rsid w:val="005213DA"/>
    <w:rsid w:val="0052191F"/>
    <w:rsid w:val="00524408"/>
    <w:rsid w:val="00524808"/>
    <w:rsid w:val="00525B6D"/>
    <w:rsid w:val="00526022"/>
    <w:rsid w:val="00527858"/>
    <w:rsid w:val="005354DE"/>
    <w:rsid w:val="00536664"/>
    <w:rsid w:val="00537CFE"/>
    <w:rsid w:val="0054003F"/>
    <w:rsid w:val="0054044E"/>
    <w:rsid w:val="0054291D"/>
    <w:rsid w:val="005432AB"/>
    <w:rsid w:val="005433A7"/>
    <w:rsid w:val="005437DF"/>
    <w:rsid w:val="00545287"/>
    <w:rsid w:val="0054759F"/>
    <w:rsid w:val="005508C2"/>
    <w:rsid w:val="00552140"/>
    <w:rsid w:val="00552433"/>
    <w:rsid w:val="00552E24"/>
    <w:rsid w:val="00552FED"/>
    <w:rsid w:val="00553017"/>
    <w:rsid w:val="00555E64"/>
    <w:rsid w:val="00555F0F"/>
    <w:rsid w:val="0055633A"/>
    <w:rsid w:val="00556D89"/>
    <w:rsid w:val="005572D8"/>
    <w:rsid w:val="00557539"/>
    <w:rsid w:val="00560809"/>
    <w:rsid w:val="00562371"/>
    <w:rsid w:val="005624E0"/>
    <w:rsid w:val="00562D26"/>
    <w:rsid w:val="00563A30"/>
    <w:rsid w:val="00563F8E"/>
    <w:rsid w:val="00564B9D"/>
    <w:rsid w:val="00566027"/>
    <w:rsid w:val="005672FE"/>
    <w:rsid w:val="00567E2F"/>
    <w:rsid w:val="005702B9"/>
    <w:rsid w:val="00571964"/>
    <w:rsid w:val="0057206B"/>
    <w:rsid w:val="005725D3"/>
    <w:rsid w:val="00573B08"/>
    <w:rsid w:val="00574306"/>
    <w:rsid w:val="005808E1"/>
    <w:rsid w:val="00581CFE"/>
    <w:rsid w:val="00582A82"/>
    <w:rsid w:val="00583866"/>
    <w:rsid w:val="00583E02"/>
    <w:rsid w:val="00585391"/>
    <w:rsid w:val="00585F96"/>
    <w:rsid w:val="00585FD2"/>
    <w:rsid w:val="00586FFC"/>
    <w:rsid w:val="005904F5"/>
    <w:rsid w:val="0059094B"/>
    <w:rsid w:val="00591398"/>
    <w:rsid w:val="0059154B"/>
    <w:rsid w:val="005928D1"/>
    <w:rsid w:val="005935C3"/>
    <w:rsid w:val="0059487E"/>
    <w:rsid w:val="00594D0E"/>
    <w:rsid w:val="00595A83"/>
    <w:rsid w:val="00595BFA"/>
    <w:rsid w:val="0059792D"/>
    <w:rsid w:val="005A17E6"/>
    <w:rsid w:val="005A201E"/>
    <w:rsid w:val="005A2AE6"/>
    <w:rsid w:val="005A3A12"/>
    <w:rsid w:val="005A4D0D"/>
    <w:rsid w:val="005A50C7"/>
    <w:rsid w:val="005A57DA"/>
    <w:rsid w:val="005A580C"/>
    <w:rsid w:val="005A7B87"/>
    <w:rsid w:val="005B00B9"/>
    <w:rsid w:val="005B17BB"/>
    <w:rsid w:val="005B19FF"/>
    <w:rsid w:val="005B2570"/>
    <w:rsid w:val="005B3887"/>
    <w:rsid w:val="005B3EB0"/>
    <w:rsid w:val="005B411D"/>
    <w:rsid w:val="005B4804"/>
    <w:rsid w:val="005B588A"/>
    <w:rsid w:val="005B6A8D"/>
    <w:rsid w:val="005B7475"/>
    <w:rsid w:val="005B7E76"/>
    <w:rsid w:val="005C0885"/>
    <w:rsid w:val="005C0976"/>
    <w:rsid w:val="005C1491"/>
    <w:rsid w:val="005C2FAE"/>
    <w:rsid w:val="005C331C"/>
    <w:rsid w:val="005C4D45"/>
    <w:rsid w:val="005C61DE"/>
    <w:rsid w:val="005C67DC"/>
    <w:rsid w:val="005C6A64"/>
    <w:rsid w:val="005D0C3A"/>
    <w:rsid w:val="005D0F37"/>
    <w:rsid w:val="005D17F1"/>
    <w:rsid w:val="005D222D"/>
    <w:rsid w:val="005D24E0"/>
    <w:rsid w:val="005D26DE"/>
    <w:rsid w:val="005D3F3D"/>
    <w:rsid w:val="005D4C88"/>
    <w:rsid w:val="005D5BDE"/>
    <w:rsid w:val="005D6A91"/>
    <w:rsid w:val="005D713B"/>
    <w:rsid w:val="005D71C1"/>
    <w:rsid w:val="005E147D"/>
    <w:rsid w:val="005E15A9"/>
    <w:rsid w:val="005E1778"/>
    <w:rsid w:val="005E354F"/>
    <w:rsid w:val="005E53EC"/>
    <w:rsid w:val="005E687A"/>
    <w:rsid w:val="005E6D5E"/>
    <w:rsid w:val="005E793D"/>
    <w:rsid w:val="005F3FDA"/>
    <w:rsid w:val="005F4AC9"/>
    <w:rsid w:val="005F5F04"/>
    <w:rsid w:val="005F60D3"/>
    <w:rsid w:val="005F7D17"/>
    <w:rsid w:val="00600298"/>
    <w:rsid w:val="0060123A"/>
    <w:rsid w:val="006014C3"/>
    <w:rsid w:val="006034B7"/>
    <w:rsid w:val="00603B13"/>
    <w:rsid w:val="00603EFB"/>
    <w:rsid w:val="00604CA3"/>
    <w:rsid w:val="00604DBE"/>
    <w:rsid w:val="00605BBD"/>
    <w:rsid w:val="00607331"/>
    <w:rsid w:val="006074C9"/>
    <w:rsid w:val="006077EE"/>
    <w:rsid w:val="00607BF4"/>
    <w:rsid w:val="00610284"/>
    <w:rsid w:val="00611A81"/>
    <w:rsid w:val="00614814"/>
    <w:rsid w:val="00614880"/>
    <w:rsid w:val="00615065"/>
    <w:rsid w:val="00616533"/>
    <w:rsid w:val="00616ED6"/>
    <w:rsid w:val="00620A80"/>
    <w:rsid w:val="006221A1"/>
    <w:rsid w:val="00623B3D"/>
    <w:rsid w:val="00624350"/>
    <w:rsid w:val="006260F8"/>
    <w:rsid w:val="006267E5"/>
    <w:rsid w:val="0063042C"/>
    <w:rsid w:val="00630D45"/>
    <w:rsid w:val="006313D0"/>
    <w:rsid w:val="00631905"/>
    <w:rsid w:val="00632936"/>
    <w:rsid w:val="00634065"/>
    <w:rsid w:val="00634727"/>
    <w:rsid w:val="006356D7"/>
    <w:rsid w:val="00636122"/>
    <w:rsid w:val="00636D3F"/>
    <w:rsid w:val="006377A5"/>
    <w:rsid w:val="00637A05"/>
    <w:rsid w:val="00637C7E"/>
    <w:rsid w:val="006401D2"/>
    <w:rsid w:val="0064055D"/>
    <w:rsid w:val="00640EB2"/>
    <w:rsid w:val="006417B4"/>
    <w:rsid w:val="00642B62"/>
    <w:rsid w:val="00642BFB"/>
    <w:rsid w:val="00642DC7"/>
    <w:rsid w:val="0064586D"/>
    <w:rsid w:val="006459E6"/>
    <w:rsid w:val="00645B8D"/>
    <w:rsid w:val="0064685C"/>
    <w:rsid w:val="00647829"/>
    <w:rsid w:val="0064794E"/>
    <w:rsid w:val="00647E0C"/>
    <w:rsid w:val="0065026B"/>
    <w:rsid w:val="0065095F"/>
    <w:rsid w:val="0065120E"/>
    <w:rsid w:val="00651592"/>
    <w:rsid w:val="00651C0B"/>
    <w:rsid w:val="00651F8B"/>
    <w:rsid w:val="00652486"/>
    <w:rsid w:val="006568F1"/>
    <w:rsid w:val="00657E8B"/>
    <w:rsid w:val="00660ABE"/>
    <w:rsid w:val="00661E39"/>
    <w:rsid w:val="00664791"/>
    <w:rsid w:val="00665145"/>
    <w:rsid w:val="006653E3"/>
    <w:rsid w:val="00665D34"/>
    <w:rsid w:val="00666212"/>
    <w:rsid w:val="00667E18"/>
    <w:rsid w:val="00670B90"/>
    <w:rsid w:val="00670E2F"/>
    <w:rsid w:val="00672239"/>
    <w:rsid w:val="00672887"/>
    <w:rsid w:val="00672B63"/>
    <w:rsid w:val="00673964"/>
    <w:rsid w:val="00674B2C"/>
    <w:rsid w:val="00675C3E"/>
    <w:rsid w:val="00677E4D"/>
    <w:rsid w:val="006805C4"/>
    <w:rsid w:val="006807CE"/>
    <w:rsid w:val="0068088D"/>
    <w:rsid w:val="00682366"/>
    <w:rsid w:val="006829B5"/>
    <w:rsid w:val="00682CCB"/>
    <w:rsid w:val="00682DEB"/>
    <w:rsid w:val="006859C7"/>
    <w:rsid w:val="00685E1E"/>
    <w:rsid w:val="00686471"/>
    <w:rsid w:val="0068684A"/>
    <w:rsid w:val="00686A31"/>
    <w:rsid w:val="00687F55"/>
    <w:rsid w:val="0069007E"/>
    <w:rsid w:val="00691519"/>
    <w:rsid w:val="00692561"/>
    <w:rsid w:val="006925DF"/>
    <w:rsid w:val="0069335C"/>
    <w:rsid w:val="00693647"/>
    <w:rsid w:val="00694023"/>
    <w:rsid w:val="00695474"/>
    <w:rsid w:val="00695781"/>
    <w:rsid w:val="00695ED1"/>
    <w:rsid w:val="00696724"/>
    <w:rsid w:val="00697448"/>
    <w:rsid w:val="006A1FDD"/>
    <w:rsid w:val="006A25E1"/>
    <w:rsid w:val="006A291C"/>
    <w:rsid w:val="006A2F8C"/>
    <w:rsid w:val="006A3C8C"/>
    <w:rsid w:val="006A50DA"/>
    <w:rsid w:val="006A5354"/>
    <w:rsid w:val="006A669D"/>
    <w:rsid w:val="006B01D1"/>
    <w:rsid w:val="006B0253"/>
    <w:rsid w:val="006B100C"/>
    <w:rsid w:val="006B4E33"/>
    <w:rsid w:val="006B6AD3"/>
    <w:rsid w:val="006B74E2"/>
    <w:rsid w:val="006B7B8D"/>
    <w:rsid w:val="006C18FB"/>
    <w:rsid w:val="006C1C0A"/>
    <w:rsid w:val="006C2AF7"/>
    <w:rsid w:val="006C2CA1"/>
    <w:rsid w:val="006C36D3"/>
    <w:rsid w:val="006C4C8F"/>
    <w:rsid w:val="006C54CB"/>
    <w:rsid w:val="006C565C"/>
    <w:rsid w:val="006C644C"/>
    <w:rsid w:val="006C66DB"/>
    <w:rsid w:val="006C6CE9"/>
    <w:rsid w:val="006C6D37"/>
    <w:rsid w:val="006D0200"/>
    <w:rsid w:val="006D134B"/>
    <w:rsid w:val="006D1990"/>
    <w:rsid w:val="006D2815"/>
    <w:rsid w:val="006D29EA"/>
    <w:rsid w:val="006D3DFA"/>
    <w:rsid w:val="006D57A4"/>
    <w:rsid w:val="006D5D35"/>
    <w:rsid w:val="006E0312"/>
    <w:rsid w:val="006E065C"/>
    <w:rsid w:val="006E4493"/>
    <w:rsid w:val="006E5B44"/>
    <w:rsid w:val="006E5FA4"/>
    <w:rsid w:val="006E69A2"/>
    <w:rsid w:val="006E6E49"/>
    <w:rsid w:val="006F3A29"/>
    <w:rsid w:val="006F3B0D"/>
    <w:rsid w:val="006F555A"/>
    <w:rsid w:val="006F58B0"/>
    <w:rsid w:val="006F5BE9"/>
    <w:rsid w:val="006F5F01"/>
    <w:rsid w:val="006F61F9"/>
    <w:rsid w:val="006F69C7"/>
    <w:rsid w:val="006F6FB6"/>
    <w:rsid w:val="006F7B36"/>
    <w:rsid w:val="007006FC"/>
    <w:rsid w:val="00704993"/>
    <w:rsid w:val="00705DFD"/>
    <w:rsid w:val="007066A1"/>
    <w:rsid w:val="00706843"/>
    <w:rsid w:val="00706E5C"/>
    <w:rsid w:val="00707482"/>
    <w:rsid w:val="00712A52"/>
    <w:rsid w:val="00712D6E"/>
    <w:rsid w:val="00713C15"/>
    <w:rsid w:val="007161D0"/>
    <w:rsid w:val="00716AD5"/>
    <w:rsid w:val="00717321"/>
    <w:rsid w:val="0071748E"/>
    <w:rsid w:val="0072030E"/>
    <w:rsid w:val="007212FA"/>
    <w:rsid w:val="00722A04"/>
    <w:rsid w:val="00723F92"/>
    <w:rsid w:val="0073032C"/>
    <w:rsid w:val="00730B55"/>
    <w:rsid w:val="00730B6F"/>
    <w:rsid w:val="00732611"/>
    <w:rsid w:val="007333D9"/>
    <w:rsid w:val="0073365A"/>
    <w:rsid w:val="00734BE1"/>
    <w:rsid w:val="0073519E"/>
    <w:rsid w:val="007365C7"/>
    <w:rsid w:val="00736663"/>
    <w:rsid w:val="00736EB7"/>
    <w:rsid w:val="00740687"/>
    <w:rsid w:val="007406B9"/>
    <w:rsid w:val="00741DBC"/>
    <w:rsid w:val="00741EBC"/>
    <w:rsid w:val="00742F8D"/>
    <w:rsid w:val="00742FE4"/>
    <w:rsid w:val="007430F4"/>
    <w:rsid w:val="0074330E"/>
    <w:rsid w:val="007444B4"/>
    <w:rsid w:val="00744841"/>
    <w:rsid w:val="00745B9C"/>
    <w:rsid w:val="00746474"/>
    <w:rsid w:val="007472B3"/>
    <w:rsid w:val="00754A86"/>
    <w:rsid w:val="00756E1F"/>
    <w:rsid w:val="00757E8C"/>
    <w:rsid w:val="00760D8A"/>
    <w:rsid w:val="00761694"/>
    <w:rsid w:val="00761F7A"/>
    <w:rsid w:val="007622A8"/>
    <w:rsid w:val="00762712"/>
    <w:rsid w:val="007638BC"/>
    <w:rsid w:val="00763BBF"/>
    <w:rsid w:val="0076449C"/>
    <w:rsid w:val="00765343"/>
    <w:rsid w:val="00766660"/>
    <w:rsid w:val="007666AB"/>
    <w:rsid w:val="00767DAF"/>
    <w:rsid w:val="00771160"/>
    <w:rsid w:val="007716E4"/>
    <w:rsid w:val="00771A7D"/>
    <w:rsid w:val="007728A4"/>
    <w:rsid w:val="00774D42"/>
    <w:rsid w:val="007750DA"/>
    <w:rsid w:val="00775833"/>
    <w:rsid w:val="007760F7"/>
    <w:rsid w:val="007808B6"/>
    <w:rsid w:val="007811F9"/>
    <w:rsid w:val="00781392"/>
    <w:rsid w:val="0078210C"/>
    <w:rsid w:val="00783B7A"/>
    <w:rsid w:val="00783EE8"/>
    <w:rsid w:val="00783FED"/>
    <w:rsid w:val="007848E8"/>
    <w:rsid w:val="00784E09"/>
    <w:rsid w:val="00786EFA"/>
    <w:rsid w:val="00787196"/>
    <w:rsid w:val="007872D2"/>
    <w:rsid w:val="007874F3"/>
    <w:rsid w:val="00790127"/>
    <w:rsid w:val="00791C14"/>
    <w:rsid w:val="00791F69"/>
    <w:rsid w:val="00792E28"/>
    <w:rsid w:val="00792E5A"/>
    <w:rsid w:val="007952DB"/>
    <w:rsid w:val="00796B1C"/>
    <w:rsid w:val="007A0157"/>
    <w:rsid w:val="007A4441"/>
    <w:rsid w:val="007A5CE1"/>
    <w:rsid w:val="007A5E4C"/>
    <w:rsid w:val="007A7458"/>
    <w:rsid w:val="007B0D47"/>
    <w:rsid w:val="007B214D"/>
    <w:rsid w:val="007B6A5E"/>
    <w:rsid w:val="007B7106"/>
    <w:rsid w:val="007C124A"/>
    <w:rsid w:val="007C18AD"/>
    <w:rsid w:val="007C1ECF"/>
    <w:rsid w:val="007C2440"/>
    <w:rsid w:val="007C4860"/>
    <w:rsid w:val="007C69E0"/>
    <w:rsid w:val="007C6C7A"/>
    <w:rsid w:val="007C7EB0"/>
    <w:rsid w:val="007D091D"/>
    <w:rsid w:val="007D1005"/>
    <w:rsid w:val="007D127D"/>
    <w:rsid w:val="007D3AF5"/>
    <w:rsid w:val="007D3F8D"/>
    <w:rsid w:val="007D6E08"/>
    <w:rsid w:val="007E0992"/>
    <w:rsid w:val="007E0B62"/>
    <w:rsid w:val="007E17EE"/>
    <w:rsid w:val="007E187E"/>
    <w:rsid w:val="007E2613"/>
    <w:rsid w:val="007E2C75"/>
    <w:rsid w:val="007E470F"/>
    <w:rsid w:val="007E478E"/>
    <w:rsid w:val="007E498A"/>
    <w:rsid w:val="007E61D9"/>
    <w:rsid w:val="007E6D7F"/>
    <w:rsid w:val="007E704C"/>
    <w:rsid w:val="007F082B"/>
    <w:rsid w:val="007F0E7B"/>
    <w:rsid w:val="007F144E"/>
    <w:rsid w:val="007F171C"/>
    <w:rsid w:val="007F1CA9"/>
    <w:rsid w:val="007F3CCD"/>
    <w:rsid w:val="007F3E81"/>
    <w:rsid w:val="007F4EA6"/>
    <w:rsid w:val="007F691E"/>
    <w:rsid w:val="00800CB7"/>
    <w:rsid w:val="00803985"/>
    <w:rsid w:val="0080426E"/>
    <w:rsid w:val="0080582B"/>
    <w:rsid w:val="00806F13"/>
    <w:rsid w:val="00810377"/>
    <w:rsid w:val="008114BE"/>
    <w:rsid w:val="008118A9"/>
    <w:rsid w:val="00812097"/>
    <w:rsid w:val="00812E0E"/>
    <w:rsid w:val="00813351"/>
    <w:rsid w:val="00813490"/>
    <w:rsid w:val="00813DBF"/>
    <w:rsid w:val="00815560"/>
    <w:rsid w:val="00815592"/>
    <w:rsid w:val="00815BA5"/>
    <w:rsid w:val="00816A99"/>
    <w:rsid w:val="00817DEE"/>
    <w:rsid w:val="00820B81"/>
    <w:rsid w:val="00820E51"/>
    <w:rsid w:val="008229BB"/>
    <w:rsid w:val="00823246"/>
    <w:rsid w:val="008241D5"/>
    <w:rsid w:val="00824B80"/>
    <w:rsid w:val="00825451"/>
    <w:rsid w:val="008256FF"/>
    <w:rsid w:val="00826777"/>
    <w:rsid w:val="00827127"/>
    <w:rsid w:val="008279EA"/>
    <w:rsid w:val="008318DA"/>
    <w:rsid w:val="008328AD"/>
    <w:rsid w:val="008335C1"/>
    <w:rsid w:val="00833D28"/>
    <w:rsid w:val="0083404E"/>
    <w:rsid w:val="00834D1C"/>
    <w:rsid w:val="00835916"/>
    <w:rsid w:val="008367D4"/>
    <w:rsid w:val="00836883"/>
    <w:rsid w:val="00837135"/>
    <w:rsid w:val="008402EF"/>
    <w:rsid w:val="00840826"/>
    <w:rsid w:val="00840ACD"/>
    <w:rsid w:val="008431BA"/>
    <w:rsid w:val="008439CA"/>
    <w:rsid w:val="0084472C"/>
    <w:rsid w:val="00844BF9"/>
    <w:rsid w:val="00845870"/>
    <w:rsid w:val="00846336"/>
    <w:rsid w:val="00846BEF"/>
    <w:rsid w:val="0084721E"/>
    <w:rsid w:val="00847BED"/>
    <w:rsid w:val="008504DF"/>
    <w:rsid w:val="00853F5C"/>
    <w:rsid w:val="00855039"/>
    <w:rsid w:val="008572D5"/>
    <w:rsid w:val="00860060"/>
    <w:rsid w:val="00861722"/>
    <w:rsid w:val="00862981"/>
    <w:rsid w:val="00862F15"/>
    <w:rsid w:val="00862FAB"/>
    <w:rsid w:val="00864D32"/>
    <w:rsid w:val="0086685C"/>
    <w:rsid w:val="00867885"/>
    <w:rsid w:val="00867F14"/>
    <w:rsid w:val="00870174"/>
    <w:rsid w:val="00871178"/>
    <w:rsid w:val="008718C7"/>
    <w:rsid w:val="008721FA"/>
    <w:rsid w:val="008738FB"/>
    <w:rsid w:val="00873FCD"/>
    <w:rsid w:val="008744CA"/>
    <w:rsid w:val="008749F6"/>
    <w:rsid w:val="00874E22"/>
    <w:rsid w:val="008756DD"/>
    <w:rsid w:val="008768F8"/>
    <w:rsid w:val="0087724D"/>
    <w:rsid w:val="00880330"/>
    <w:rsid w:val="008827FB"/>
    <w:rsid w:val="00882836"/>
    <w:rsid w:val="00882B1D"/>
    <w:rsid w:val="00883CEC"/>
    <w:rsid w:val="0088494C"/>
    <w:rsid w:val="00884BF6"/>
    <w:rsid w:val="0088533B"/>
    <w:rsid w:val="00886144"/>
    <w:rsid w:val="00892D56"/>
    <w:rsid w:val="0089371A"/>
    <w:rsid w:val="00893D8A"/>
    <w:rsid w:val="00894485"/>
    <w:rsid w:val="0089584E"/>
    <w:rsid w:val="00896151"/>
    <w:rsid w:val="008962E3"/>
    <w:rsid w:val="00896F04"/>
    <w:rsid w:val="00897EF9"/>
    <w:rsid w:val="008A1948"/>
    <w:rsid w:val="008A4F06"/>
    <w:rsid w:val="008A501A"/>
    <w:rsid w:val="008A59EB"/>
    <w:rsid w:val="008A7CAE"/>
    <w:rsid w:val="008A7F4F"/>
    <w:rsid w:val="008B3336"/>
    <w:rsid w:val="008B5E53"/>
    <w:rsid w:val="008B60F1"/>
    <w:rsid w:val="008B7B2F"/>
    <w:rsid w:val="008C0736"/>
    <w:rsid w:val="008C3C9C"/>
    <w:rsid w:val="008C44D1"/>
    <w:rsid w:val="008C45B7"/>
    <w:rsid w:val="008C4C0C"/>
    <w:rsid w:val="008C4E3C"/>
    <w:rsid w:val="008C540E"/>
    <w:rsid w:val="008C5FA1"/>
    <w:rsid w:val="008C7BC1"/>
    <w:rsid w:val="008C7C4A"/>
    <w:rsid w:val="008D0B14"/>
    <w:rsid w:val="008D0B63"/>
    <w:rsid w:val="008D3465"/>
    <w:rsid w:val="008D4BB1"/>
    <w:rsid w:val="008D5C1F"/>
    <w:rsid w:val="008E1265"/>
    <w:rsid w:val="008E1392"/>
    <w:rsid w:val="008E1642"/>
    <w:rsid w:val="008E2B09"/>
    <w:rsid w:val="008E3126"/>
    <w:rsid w:val="008E314B"/>
    <w:rsid w:val="008E3BB5"/>
    <w:rsid w:val="008E4496"/>
    <w:rsid w:val="008E5E0E"/>
    <w:rsid w:val="008E5F19"/>
    <w:rsid w:val="008E6299"/>
    <w:rsid w:val="008E6375"/>
    <w:rsid w:val="008E7959"/>
    <w:rsid w:val="008F37F7"/>
    <w:rsid w:val="008F44BA"/>
    <w:rsid w:val="008F67BF"/>
    <w:rsid w:val="008F7888"/>
    <w:rsid w:val="008F7AC5"/>
    <w:rsid w:val="009006CD"/>
    <w:rsid w:val="00901D07"/>
    <w:rsid w:val="009026FA"/>
    <w:rsid w:val="00903E24"/>
    <w:rsid w:val="0090500E"/>
    <w:rsid w:val="00905760"/>
    <w:rsid w:val="00905A66"/>
    <w:rsid w:val="00906752"/>
    <w:rsid w:val="00906842"/>
    <w:rsid w:val="00906974"/>
    <w:rsid w:val="00907483"/>
    <w:rsid w:val="00910D6C"/>
    <w:rsid w:val="00910EE2"/>
    <w:rsid w:val="00911F67"/>
    <w:rsid w:val="00912838"/>
    <w:rsid w:val="00913AB2"/>
    <w:rsid w:val="00915ED7"/>
    <w:rsid w:val="00916101"/>
    <w:rsid w:val="00916398"/>
    <w:rsid w:val="0091699F"/>
    <w:rsid w:val="00916B4C"/>
    <w:rsid w:val="00917188"/>
    <w:rsid w:val="00920F90"/>
    <w:rsid w:val="009223BC"/>
    <w:rsid w:val="00922678"/>
    <w:rsid w:val="00923B01"/>
    <w:rsid w:val="00927DE2"/>
    <w:rsid w:val="009314B0"/>
    <w:rsid w:val="009319F3"/>
    <w:rsid w:val="0093239A"/>
    <w:rsid w:val="00932651"/>
    <w:rsid w:val="00932764"/>
    <w:rsid w:val="00934059"/>
    <w:rsid w:val="009357B9"/>
    <w:rsid w:val="00935984"/>
    <w:rsid w:val="009366CB"/>
    <w:rsid w:val="0093758C"/>
    <w:rsid w:val="00940E68"/>
    <w:rsid w:val="00942341"/>
    <w:rsid w:val="00942F97"/>
    <w:rsid w:val="00944339"/>
    <w:rsid w:val="009444EF"/>
    <w:rsid w:val="00945001"/>
    <w:rsid w:val="0094528D"/>
    <w:rsid w:val="00946DE4"/>
    <w:rsid w:val="00947809"/>
    <w:rsid w:val="009510F0"/>
    <w:rsid w:val="00951194"/>
    <w:rsid w:val="009516F0"/>
    <w:rsid w:val="0095173B"/>
    <w:rsid w:val="00953E77"/>
    <w:rsid w:val="00954191"/>
    <w:rsid w:val="00954AE7"/>
    <w:rsid w:val="0095510E"/>
    <w:rsid w:val="009552DE"/>
    <w:rsid w:val="00955C22"/>
    <w:rsid w:val="00956267"/>
    <w:rsid w:val="00956AA0"/>
    <w:rsid w:val="0095762C"/>
    <w:rsid w:val="00960BA3"/>
    <w:rsid w:val="00960DD2"/>
    <w:rsid w:val="00961F35"/>
    <w:rsid w:val="00965696"/>
    <w:rsid w:val="00965849"/>
    <w:rsid w:val="00966539"/>
    <w:rsid w:val="00966BD5"/>
    <w:rsid w:val="00967BA0"/>
    <w:rsid w:val="009709BB"/>
    <w:rsid w:val="00970FC6"/>
    <w:rsid w:val="00971C08"/>
    <w:rsid w:val="00972311"/>
    <w:rsid w:val="00972890"/>
    <w:rsid w:val="00972935"/>
    <w:rsid w:val="00972E1F"/>
    <w:rsid w:val="00973E69"/>
    <w:rsid w:val="00974B47"/>
    <w:rsid w:val="00974D3A"/>
    <w:rsid w:val="009768AB"/>
    <w:rsid w:val="009772C5"/>
    <w:rsid w:val="009800E3"/>
    <w:rsid w:val="00980A6D"/>
    <w:rsid w:val="009821A2"/>
    <w:rsid w:val="009822D0"/>
    <w:rsid w:val="00982474"/>
    <w:rsid w:val="00982607"/>
    <w:rsid w:val="00984501"/>
    <w:rsid w:val="00984ACC"/>
    <w:rsid w:val="009875ED"/>
    <w:rsid w:val="009876E5"/>
    <w:rsid w:val="00987A59"/>
    <w:rsid w:val="009914A6"/>
    <w:rsid w:val="009945B2"/>
    <w:rsid w:val="00995215"/>
    <w:rsid w:val="00995F79"/>
    <w:rsid w:val="0099661C"/>
    <w:rsid w:val="00997FA3"/>
    <w:rsid w:val="009A0C10"/>
    <w:rsid w:val="009A22E9"/>
    <w:rsid w:val="009A2F19"/>
    <w:rsid w:val="009A3CBC"/>
    <w:rsid w:val="009B1052"/>
    <w:rsid w:val="009B1891"/>
    <w:rsid w:val="009B18F3"/>
    <w:rsid w:val="009B2295"/>
    <w:rsid w:val="009B3F28"/>
    <w:rsid w:val="009B4B26"/>
    <w:rsid w:val="009B6273"/>
    <w:rsid w:val="009B6832"/>
    <w:rsid w:val="009C02B4"/>
    <w:rsid w:val="009C0BB8"/>
    <w:rsid w:val="009C428E"/>
    <w:rsid w:val="009C443D"/>
    <w:rsid w:val="009C5530"/>
    <w:rsid w:val="009C69B9"/>
    <w:rsid w:val="009C6A8E"/>
    <w:rsid w:val="009C7B72"/>
    <w:rsid w:val="009D0404"/>
    <w:rsid w:val="009D0431"/>
    <w:rsid w:val="009D070B"/>
    <w:rsid w:val="009D10FA"/>
    <w:rsid w:val="009D1225"/>
    <w:rsid w:val="009D17C2"/>
    <w:rsid w:val="009D21CA"/>
    <w:rsid w:val="009D304F"/>
    <w:rsid w:val="009D318D"/>
    <w:rsid w:val="009D3919"/>
    <w:rsid w:val="009D3A0A"/>
    <w:rsid w:val="009D3C64"/>
    <w:rsid w:val="009D4FEA"/>
    <w:rsid w:val="009D68E0"/>
    <w:rsid w:val="009D775E"/>
    <w:rsid w:val="009E0227"/>
    <w:rsid w:val="009E052D"/>
    <w:rsid w:val="009E1E07"/>
    <w:rsid w:val="009E28EF"/>
    <w:rsid w:val="009E30DF"/>
    <w:rsid w:val="009E3A4C"/>
    <w:rsid w:val="009E5598"/>
    <w:rsid w:val="009E6DDE"/>
    <w:rsid w:val="009F1BF1"/>
    <w:rsid w:val="009F4BF9"/>
    <w:rsid w:val="009F73EF"/>
    <w:rsid w:val="00A00C89"/>
    <w:rsid w:val="00A045D6"/>
    <w:rsid w:val="00A046C2"/>
    <w:rsid w:val="00A04EAB"/>
    <w:rsid w:val="00A04FF6"/>
    <w:rsid w:val="00A07583"/>
    <w:rsid w:val="00A108C0"/>
    <w:rsid w:val="00A11481"/>
    <w:rsid w:val="00A12B02"/>
    <w:rsid w:val="00A12D72"/>
    <w:rsid w:val="00A13EB0"/>
    <w:rsid w:val="00A1591E"/>
    <w:rsid w:val="00A15D26"/>
    <w:rsid w:val="00A20E11"/>
    <w:rsid w:val="00A21191"/>
    <w:rsid w:val="00A21B54"/>
    <w:rsid w:val="00A21D53"/>
    <w:rsid w:val="00A21DB9"/>
    <w:rsid w:val="00A22180"/>
    <w:rsid w:val="00A22A9A"/>
    <w:rsid w:val="00A26E05"/>
    <w:rsid w:val="00A30826"/>
    <w:rsid w:val="00A31661"/>
    <w:rsid w:val="00A32941"/>
    <w:rsid w:val="00A32B00"/>
    <w:rsid w:val="00A33520"/>
    <w:rsid w:val="00A335AE"/>
    <w:rsid w:val="00A33F69"/>
    <w:rsid w:val="00A340F8"/>
    <w:rsid w:val="00A34FD7"/>
    <w:rsid w:val="00A35A4B"/>
    <w:rsid w:val="00A3645C"/>
    <w:rsid w:val="00A41BAB"/>
    <w:rsid w:val="00A44C03"/>
    <w:rsid w:val="00A45051"/>
    <w:rsid w:val="00A460A6"/>
    <w:rsid w:val="00A478F9"/>
    <w:rsid w:val="00A51532"/>
    <w:rsid w:val="00A52325"/>
    <w:rsid w:val="00A52E1E"/>
    <w:rsid w:val="00A52F5E"/>
    <w:rsid w:val="00A539F2"/>
    <w:rsid w:val="00A5457E"/>
    <w:rsid w:val="00A547AD"/>
    <w:rsid w:val="00A572ED"/>
    <w:rsid w:val="00A57335"/>
    <w:rsid w:val="00A60B59"/>
    <w:rsid w:val="00A60F7C"/>
    <w:rsid w:val="00A625D7"/>
    <w:rsid w:val="00A6415B"/>
    <w:rsid w:val="00A64566"/>
    <w:rsid w:val="00A64EEE"/>
    <w:rsid w:val="00A654FB"/>
    <w:rsid w:val="00A65E64"/>
    <w:rsid w:val="00A66344"/>
    <w:rsid w:val="00A6734D"/>
    <w:rsid w:val="00A67FAA"/>
    <w:rsid w:val="00A710DC"/>
    <w:rsid w:val="00A736D7"/>
    <w:rsid w:val="00A73D75"/>
    <w:rsid w:val="00A74252"/>
    <w:rsid w:val="00A74A14"/>
    <w:rsid w:val="00A76EDC"/>
    <w:rsid w:val="00A77499"/>
    <w:rsid w:val="00A838C5"/>
    <w:rsid w:val="00A840A7"/>
    <w:rsid w:val="00A84AFB"/>
    <w:rsid w:val="00A8623C"/>
    <w:rsid w:val="00A86A69"/>
    <w:rsid w:val="00A877C9"/>
    <w:rsid w:val="00A87B49"/>
    <w:rsid w:val="00A91736"/>
    <w:rsid w:val="00A94543"/>
    <w:rsid w:val="00A9467B"/>
    <w:rsid w:val="00A94D44"/>
    <w:rsid w:val="00A95180"/>
    <w:rsid w:val="00A96AAE"/>
    <w:rsid w:val="00A975EA"/>
    <w:rsid w:val="00AA0F9A"/>
    <w:rsid w:val="00AA118A"/>
    <w:rsid w:val="00AA12C5"/>
    <w:rsid w:val="00AA14F1"/>
    <w:rsid w:val="00AA277A"/>
    <w:rsid w:val="00AA411A"/>
    <w:rsid w:val="00AA4575"/>
    <w:rsid w:val="00AA458B"/>
    <w:rsid w:val="00AA47D1"/>
    <w:rsid w:val="00AA5547"/>
    <w:rsid w:val="00AA5FE8"/>
    <w:rsid w:val="00AA7D7A"/>
    <w:rsid w:val="00AB139B"/>
    <w:rsid w:val="00AB2A39"/>
    <w:rsid w:val="00AB2E3A"/>
    <w:rsid w:val="00AB4261"/>
    <w:rsid w:val="00AB4BBC"/>
    <w:rsid w:val="00AB4CCF"/>
    <w:rsid w:val="00AB58EA"/>
    <w:rsid w:val="00AB68B9"/>
    <w:rsid w:val="00AB7C2B"/>
    <w:rsid w:val="00AB7EA3"/>
    <w:rsid w:val="00AC2DB5"/>
    <w:rsid w:val="00AC35F7"/>
    <w:rsid w:val="00AC52EB"/>
    <w:rsid w:val="00AC545E"/>
    <w:rsid w:val="00AC54B5"/>
    <w:rsid w:val="00AC5661"/>
    <w:rsid w:val="00AC56D5"/>
    <w:rsid w:val="00AC5E4A"/>
    <w:rsid w:val="00AC713A"/>
    <w:rsid w:val="00AC78F3"/>
    <w:rsid w:val="00AC7C64"/>
    <w:rsid w:val="00AC7EDB"/>
    <w:rsid w:val="00AD2A57"/>
    <w:rsid w:val="00AD317E"/>
    <w:rsid w:val="00AD3500"/>
    <w:rsid w:val="00AD3934"/>
    <w:rsid w:val="00AD3D7A"/>
    <w:rsid w:val="00AD4247"/>
    <w:rsid w:val="00AD45B2"/>
    <w:rsid w:val="00AD5949"/>
    <w:rsid w:val="00AD6928"/>
    <w:rsid w:val="00AD7E69"/>
    <w:rsid w:val="00AE19E2"/>
    <w:rsid w:val="00AE1A97"/>
    <w:rsid w:val="00AE1B6F"/>
    <w:rsid w:val="00AE1FF8"/>
    <w:rsid w:val="00AE2C10"/>
    <w:rsid w:val="00AE3020"/>
    <w:rsid w:val="00AE432B"/>
    <w:rsid w:val="00AE5336"/>
    <w:rsid w:val="00AE535E"/>
    <w:rsid w:val="00AE5717"/>
    <w:rsid w:val="00AE6D8A"/>
    <w:rsid w:val="00AE700B"/>
    <w:rsid w:val="00AF1B9D"/>
    <w:rsid w:val="00AF301C"/>
    <w:rsid w:val="00AF3843"/>
    <w:rsid w:val="00AF38ED"/>
    <w:rsid w:val="00AF3AF1"/>
    <w:rsid w:val="00AF4B4F"/>
    <w:rsid w:val="00AF7DEB"/>
    <w:rsid w:val="00B00C39"/>
    <w:rsid w:val="00B01606"/>
    <w:rsid w:val="00B01BE3"/>
    <w:rsid w:val="00B01C4D"/>
    <w:rsid w:val="00B01EE1"/>
    <w:rsid w:val="00B02053"/>
    <w:rsid w:val="00B0269A"/>
    <w:rsid w:val="00B052B4"/>
    <w:rsid w:val="00B05E0C"/>
    <w:rsid w:val="00B05F32"/>
    <w:rsid w:val="00B06749"/>
    <w:rsid w:val="00B06AB9"/>
    <w:rsid w:val="00B078F4"/>
    <w:rsid w:val="00B07BEF"/>
    <w:rsid w:val="00B07C7A"/>
    <w:rsid w:val="00B1047F"/>
    <w:rsid w:val="00B10558"/>
    <w:rsid w:val="00B10C7A"/>
    <w:rsid w:val="00B13E9A"/>
    <w:rsid w:val="00B152A7"/>
    <w:rsid w:val="00B15FC5"/>
    <w:rsid w:val="00B2540D"/>
    <w:rsid w:val="00B25470"/>
    <w:rsid w:val="00B25604"/>
    <w:rsid w:val="00B26C03"/>
    <w:rsid w:val="00B27118"/>
    <w:rsid w:val="00B27720"/>
    <w:rsid w:val="00B27BEE"/>
    <w:rsid w:val="00B33688"/>
    <w:rsid w:val="00B34C48"/>
    <w:rsid w:val="00B358E1"/>
    <w:rsid w:val="00B359A9"/>
    <w:rsid w:val="00B367C5"/>
    <w:rsid w:val="00B36C2F"/>
    <w:rsid w:val="00B370C4"/>
    <w:rsid w:val="00B3762E"/>
    <w:rsid w:val="00B37F4B"/>
    <w:rsid w:val="00B40C2C"/>
    <w:rsid w:val="00B40DB1"/>
    <w:rsid w:val="00B412C3"/>
    <w:rsid w:val="00B41CCC"/>
    <w:rsid w:val="00B420FF"/>
    <w:rsid w:val="00B43389"/>
    <w:rsid w:val="00B4428E"/>
    <w:rsid w:val="00B44F41"/>
    <w:rsid w:val="00B455B1"/>
    <w:rsid w:val="00B5034D"/>
    <w:rsid w:val="00B504B7"/>
    <w:rsid w:val="00B50BC6"/>
    <w:rsid w:val="00B5161D"/>
    <w:rsid w:val="00B51DF6"/>
    <w:rsid w:val="00B52FFB"/>
    <w:rsid w:val="00B53CFD"/>
    <w:rsid w:val="00B54638"/>
    <w:rsid w:val="00B566F4"/>
    <w:rsid w:val="00B56713"/>
    <w:rsid w:val="00B56F76"/>
    <w:rsid w:val="00B60EAA"/>
    <w:rsid w:val="00B61EDB"/>
    <w:rsid w:val="00B61F63"/>
    <w:rsid w:val="00B6267D"/>
    <w:rsid w:val="00B63D6A"/>
    <w:rsid w:val="00B6414F"/>
    <w:rsid w:val="00B64E22"/>
    <w:rsid w:val="00B65247"/>
    <w:rsid w:val="00B65FC3"/>
    <w:rsid w:val="00B66370"/>
    <w:rsid w:val="00B672F9"/>
    <w:rsid w:val="00B67AFE"/>
    <w:rsid w:val="00B70607"/>
    <w:rsid w:val="00B718BF"/>
    <w:rsid w:val="00B73B8B"/>
    <w:rsid w:val="00B73EA3"/>
    <w:rsid w:val="00B74002"/>
    <w:rsid w:val="00B74ECC"/>
    <w:rsid w:val="00B7667F"/>
    <w:rsid w:val="00B778DA"/>
    <w:rsid w:val="00B8075F"/>
    <w:rsid w:val="00B80AAA"/>
    <w:rsid w:val="00B81525"/>
    <w:rsid w:val="00B836CB"/>
    <w:rsid w:val="00B8460F"/>
    <w:rsid w:val="00B84812"/>
    <w:rsid w:val="00B857E5"/>
    <w:rsid w:val="00B85C62"/>
    <w:rsid w:val="00B863CF"/>
    <w:rsid w:val="00B864D1"/>
    <w:rsid w:val="00B86694"/>
    <w:rsid w:val="00B90765"/>
    <w:rsid w:val="00B91EC1"/>
    <w:rsid w:val="00B933F5"/>
    <w:rsid w:val="00B938F7"/>
    <w:rsid w:val="00B93BD4"/>
    <w:rsid w:val="00B94490"/>
    <w:rsid w:val="00B94863"/>
    <w:rsid w:val="00B96A88"/>
    <w:rsid w:val="00B97FC4"/>
    <w:rsid w:val="00BA0098"/>
    <w:rsid w:val="00BA07A8"/>
    <w:rsid w:val="00BA0A6F"/>
    <w:rsid w:val="00BA0A90"/>
    <w:rsid w:val="00BA1B00"/>
    <w:rsid w:val="00BA29A6"/>
    <w:rsid w:val="00BA72AF"/>
    <w:rsid w:val="00BB1861"/>
    <w:rsid w:val="00BB2CCF"/>
    <w:rsid w:val="00BB34AF"/>
    <w:rsid w:val="00BB4727"/>
    <w:rsid w:val="00BB5020"/>
    <w:rsid w:val="00BB53FF"/>
    <w:rsid w:val="00BB586C"/>
    <w:rsid w:val="00BB5D89"/>
    <w:rsid w:val="00BB60AF"/>
    <w:rsid w:val="00BB6C1A"/>
    <w:rsid w:val="00BB6CF3"/>
    <w:rsid w:val="00BC0900"/>
    <w:rsid w:val="00BC0F14"/>
    <w:rsid w:val="00BC1804"/>
    <w:rsid w:val="00BC3725"/>
    <w:rsid w:val="00BC3C1A"/>
    <w:rsid w:val="00BC3DD8"/>
    <w:rsid w:val="00BC467A"/>
    <w:rsid w:val="00BC4A9E"/>
    <w:rsid w:val="00BC4AA5"/>
    <w:rsid w:val="00BC4F75"/>
    <w:rsid w:val="00BC5BFB"/>
    <w:rsid w:val="00BD4D59"/>
    <w:rsid w:val="00BD50EC"/>
    <w:rsid w:val="00BD560A"/>
    <w:rsid w:val="00BD5BC3"/>
    <w:rsid w:val="00BD79F0"/>
    <w:rsid w:val="00BE071D"/>
    <w:rsid w:val="00BE31C2"/>
    <w:rsid w:val="00BE34B1"/>
    <w:rsid w:val="00BE3C73"/>
    <w:rsid w:val="00BE4CCF"/>
    <w:rsid w:val="00BE63F8"/>
    <w:rsid w:val="00BE7053"/>
    <w:rsid w:val="00BE710B"/>
    <w:rsid w:val="00BE757F"/>
    <w:rsid w:val="00BF1C04"/>
    <w:rsid w:val="00BF2D29"/>
    <w:rsid w:val="00BF2D60"/>
    <w:rsid w:val="00BF3EBF"/>
    <w:rsid w:val="00BF4721"/>
    <w:rsid w:val="00BF5E95"/>
    <w:rsid w:val="00BF61E8"/>
    <w:rsid w:val="00BF62F9"/>
    <w:rsid w:val="00BF6317"/>
    <w:rsid w:val="00BF6E4C"/>
    <w:rsid w:val="00BF6EA8"/>
    <w:rsid w:val="00C0125A"/>
    <w:rsid w:val="00C029E0"/>
    <w:rsid w:val="00C030A4"/>
    <w:rsid w:val="00C033FB"/>
    <w:rsid w:val="00C038FE"/>
    <w:rsid w:val="00C03AC3"/>
    <w:rsid w:val="00C0419C"/>
    <w:rsid w:val="00C0470C"/>
    <w:rsid w:val="00C04B1C"/>
    <w:rsid w:val="00C04D2C"/>
    <w:rsid w:val="00C10BEE"/>
    <w:rsid w:val="00C12CC7"/>
    <w:rsid w:val="00C12E91"/>
    <w:rsid w:val="00C149DC"/>
    <w:rsid w:val="00C15EA9"/>
    <w:rsid w:val="00C16410"/>
    <w:rsid w:val="00C174F2"/>
    <w:rsid w:val="00C17799"/>
    <w:rsid w:val="00C17BED"/>
    <w:rsid w:val="00C205C9"/>
    <w:rsid w:val="00C21F09"/>
    <w:rsid w:val="00C237D4"/>
    <w:rsid w:val="00C30503"/>
    <w:rsid w:val="00C319CB"/>
    <w:rsid w:val="00C31A6C"/>
    <w:rsid w:val="00C3247D"/>
    <w:rsid w:val="00C33DDF"/>
    <w:rsid w:val="00C34CD3"/>
    <w:rsid w:val="00C34FDA"/>
    <w:rsid w:val="00C357B3"/>
    <w:rsid w:val="00C36A1C"/>
    <w:rsid w:val="00C41414"/>
    <w:rsid w:val="00C42817"/>
    <w:rsid w:val="00C42A70"/>
    <w:rsid w:val="00C44AFF"/>
    <w:rsid w:val="00C45041"/>
    <w:rsid w:val="00C454F4"/>
    <w:rsid w:val="00C465FA"/>
    <w:rsid w:val="00C479FA"/>
    <w:rsid w:val="00C47F7C"/>
    <w:rsid w:val="00C508CD"/>
    <w:rsid w:val="00C530ED"/>
    <w:rsid w:val="00C536F3"/>
    <w:rsid w:val="00C53EBB"/>
    <w:rsid w:val="00C54342"/>
    <w:rsid w:val="00C5482E"/>
    <w:rsid w:val="00C55555"/>
    <w:rsid w:val="00C57059"/>
    <w:rsid w:val="00C5782B"/>
    <w:rsid w:val="00C57E21"/>
    <w:rsid w:val="00C604C3"/>
    <w:rsid w:val="00C618D2"/>
    <w:rsid w:val="00C61932"/>
    <w:rsid w:val="00C640D4"/>
    <w:rsid w:val="00C64150"/>
    <w:rsid w:val="00C646E4"/>
    <w:rsid w:val="00C648A5"/>
    <w:rsid w:val="00C64964"/>
    <w:rsid w:val="00C654B7"/>
    <w:rsid w:val="00C65F1F"/>
    <w:rsid w:val="00C66A84"/>
    <w:rsid w:val="00C70671"/>
    <w:rsid w:val="00C7304E"/>
    <w:rsid w:val="00C730C4"/>
    <w:rsid w:val="00C7397E"/>
    <w:rsid w:val="00C751D7"/>
    <w:rsid w:val="00C760E7"/>
    <w:rsid w:val="00C7613F"/>
    <w:rsid w:val="00C7657E"/>
    <w:rsid w:val="00C77F43"/>
    <w:rsid w:val="00C80DEE"/>
    <w:rsid w:val="00C81449"/>
    <w:rsid w:val="00C815C0"/>
    <w:rsid w:val="00C81886"/>
    <w:rsid w:val="00C81A44"/>
    <w:rsid w:val="00C81E71"/>
    <w:rsid w:val="00C82569"/>
    <w:rsid w:val="00C840F0"/>
    <w:rsid w:val="00C84763"/>
    <w:rsid w:val="00C84BBA"/>
    <w:rsid w:val="00C85732"/>
    <w:rsid w:val="00C86076"/>
    <w:rsid w:val="00C86EDC"/>
    <w:rsid w:val="00C90392"/>
    <w:rsid w:val="00C90504"/>
    <w:rsid w:val="00C90822"/>
    <w:rsid w:val="00C91B02"/>
    <w:rsid w:val="00C92325"/>
    <w:rsid w:val="00C927AE"/>
    <w:rsid w:val="00C93F41"/>
    <w:rsid w:val="00C948B4"/>
    <w:rsid w:val="00C94D6A"/>
    <w:rsid w:val="00C95E06"/>
    <w:rsid w:val="00C975A7"/>
    <w:rsid w:val="00CA0539"/>
    <w:rsid w:val="00CA2144"/>
    <w:rsid w:val="00CA22B8"/>
    <w:rsid w:val="00CA23ED"/>
    <w:rsid w:val="00CA3EA8"/>
    <w:rsid w:val="00CA47D9"/>
    <w:rsid w:val="00CA4FEF"/>
    <w:rsid w:val="00CA6DC7"/>
    <w:rsid w:val="00CA7AC1"/>
    <w:rsid w:val="00CB027C"/>
    <w:rsid w:val="00CB02C5"/>
    <w:rsid w:val="00CB0788"/>
    <w:rsid w:val="00CB34F1"/>
    <w:rsid w:val="00CB75A7"/>
    <w:rsid w:val="00CB7A59"/>
    <w:rsid w:val="00CC0C7A"/>
    <w:rsid w:val="00CC2634"/>
    <w:rsid w:val="00CC28B4"/>
    <w:rsid w:val="00CC3266"/>
    <w:rsid w:val="00CC32DB"/>
    <w:rsid w:val="00CC3FB0"/>
    <w:rsid w:val="00CC4979"/>
    <w:rsid w:val="00CC5DBB"/>
    <w:rsid w:val="00CC6FA4"/>
    <w:rsid w:val="00CD0668"/>
    <w:rsid w:val="00CD23A7"/>
    <w:rsid w:val="00CD36D5"/>
    <w:rsid w:val="00CD3C88"/>
    <w:rsid w:val="00CD4233"/>
    <w:rsid w:val="00CD54F1"/>
    <w:rsid w:val="00CE0F68"/>
    <w:rsid w:val="00CE146B"/>
    <w:rsid w:val="00CE26C0"/>
    <w:rsid w:val="00CE2C31"/>
    <w:rsid w:val="00CE4C71"/>
    <w:rsid w:val="00CE7DFC"/>
    <w:rsid w:val="00CF0A13"/>
    <w:rsid w:val="00CF0FE2"/>
    <w:rsid w:val="00CF1E42"/>
    <w:rsid w:val="00CF2068"/>
    <w:rsid w:val="00CF2825"/>
    <w:rsid w:val="00CF3265"/>
    <w:rsid w:val="00CF32A7"/>
    <w:rsid w:val="00CF32B6"/>
    <w:rsid w:val="00CF496C"/>
    <w:rsid w:val="00CF613A"/>
    <w:rsid w:val="00CF6AFA"/>
    <w:rsid w:val="00CF7618"/>
    <w:rsid w:val="00CF7A31"/>
    <w:rsid w:val="00D01A09"/>
    <w:rsid w:val="00D01A0B"/>
    <w:rsid w:val="00D0306F"/>
    <w:rsid w:val="00D0516C"/>
    <w:rsid w:val="00D100F0"/>
    <w:rsid w:val="00D1018F"/>
    <w:rsid w:val="00D10DCD"/>
    <w:rsid w:val="00D14863"/>
    <w:rsid w:val="00D1680E"/>
    <w:rsid w:val="00D20F52"/>
    <w:rsid w:val="00D21406"/>
    <w:rsid w:val="00D21EC0"/>
    <w:rsid w:val="00D22112"/>
    <w:rsid w:val="00D22E55"/>
    <w:rsid w:val="00D22ED0"/>
    <w:rsid w:val="00D2381B"/>
    <w:rsid w:val="00D241D6"/>
    <w:rsid w:val="00D277FA"/>
    <w:rsid w:val="00D3120A"/>
    <w:rsid w:val="00D31F3E"/>
    <w:rsid w:val="00D322D2"/>
    <w:rsid w:val="00D351EC"/>
    <w:rsid w:val="00D352C2"/>
    <w:rsid w:val="00D3543B"/>
    <w:rsid w:val="00D35A19"/>
    <w:rsid w:val="00D416E6"/>
    <w:rsid w:val="00D42AE6"/>
    <w:rsid w:val="00D441E1"/>
    <w:rsid w:val="00D452B2"/>
    <w:rsid w:val="00D45A9F"/>
    <w:rsid w:val="00D46104"/>
    <w:rsid w:val="00D46CBB"/>
    <w:rsid w:val="00D501B7"/>
    <w:rsid w:val="00D52A58"/>
    <w:rsid w:val="00D52DE1"/>
    <w:rsid w:val="00D56520"/>
    <w:rsid w:val="00D60B77"/>
    <w:rsid w:val="00D60FA1"/>
    <w:rsid w:val="00D61E3B"/>
    <w:rsid w:val="00D64C72"/>
    <w:rsid w:val="00D679A7"/>
    <w:rsid w:val="00D704B5"/>
    <w:rsid w:val="00D70E1F"/>
    <w:rsid w:val="00D719FB"/>
    <w:rsid w:val="00D71CD5"/>
    <w:rsid w:val="00D7431B"/>
    <w:rsid w:val="00D74765"/>
    <w:rsid w:val="00D748E1"/>
    <w:rsid w:val="00D750C5"/>
    <w:rsid w:val="00D75528"/>
    <w:rsid w:val="00D75D06"/>
    <w:rsid w:val="00D76B7B"/>
    <w:rsid w:val="00D802E0"/>
    <w:rsid w:val="00D825E5"/>
    <w:rsid w:val="00D839CB"/>
    <w:rsid w:val="00D84EA7"/>
    <w:rsid w:val="00D859FE"/>
    <w:rsid w:val="00D86289"/>
    <w:rsid w:val="00D87E44"/>
    <w:rsid w:val="00D9069C"/>
    <w:rsid w:val="00D90AAC"/>
    <w:rsid w:val="00D91691"/>
    <w:rsid w:val="00D916B7"/>
    <w:rsid w:val="00D9605F"/>
    <w:rsid w:val="00D96F54"/>
    <w:rsid w:val="00D9749E"/>
    <w:rsid w:val="00DA03E6"/>
    <w:rsid w:val="00DA08EC"/>
    <w:rsid w:val="00DA1827"/>
    <w:rsid w:val="00DA4771"/>
    <w:rsid w:val="00DA4ED1"/>
    <w:rsid w:val="00DA5461"/>
    <w:rsid w:val="00DA6345"/>
    <w:rsid w:val="00DA7B59"/>
    <w:rsid w:val="00DA7E54"/>
    <w:rsid w:val="00DB069C"/>
    <w:rsid w:val="00DB190A"/>
    <w:rsid w:val="00DB1E78"/>
    <w:rsid w:val="00DB273B"/>
    <w:rsid w:val="00DB2E00"/>
    <w:rsid w:val="00DB4813"/>
    <w:rsid w:val="00DB578E"/>
    <w:rsid w:val="00DB5FA2"/>
    <w:rsid w:val="00DB62A9"/>
    <w:rsid w:val="00DC0B93"/>
    <w:rsid w:val="00DC2EA7"/>
    <w:rsid w:val="00DC37B4"/>
    <w:rsid w:val="00DC46EF"/>
    <w:rsid w:val="00DC4A39"/>
    <w:rsid w:val="00DC4B37"/>
    <w:rsid w:val="00DC6AA9"/>
    <w:rsid w:val="00DC73AF"/>
    <w:rsid w:val="00DC79CE"/>
    <w:rsid w:val="00DC7E87"/>
    <w:rsid w:val="00DD10A5"/>
    <w:rsid w:val="00DD241D"/>
    <w:rsid w:val="00DD2D9E"/>
    <w:rsid w:val="00DD3595"/>
    <w:rsid w:val="00DD4A6F"/>
    <w:rsid w:val="00DD7E97"/>
    <w:rsid w:val="00DE0819"/>
    <w:rsid w:val="00DE0E14"/>
    <w:rsid w:val="00DE1C69"/>
    <w:rsid w:val="00DE466A"/>
    <w:rsid w:val="00DE4A46"/>
    <w:rsid w:val="00DE5B6E"/>
    <w:rsid w:val="00DE6AC1"/>
    <w:rsid w:val="00DE6DB1"/>
    <w:rsid w:val="00DE78B8"/>
    <w:rsid w:val="00DF00C1"/>
    <w:rsid w:val="00DF10E2"/>
    <w:rsid w:val="00DF1340"/>
    <w:rsid w:val="00DF19EE"/>
    <w:rsid w:val="00DF2AC3"/>
    <w:rsid w:val="00DF366C"/>
    <w:rsid w:val="00DF68D2"/>
    <w:rsid w:val="00DF6A50"/>
    <w:rsid w:val="00E00FDD"/>
    <w:rsid w:val="00E01712"/>
    <w:rsid w:val="00E01A9E"/>
    <w:rsid w:val="00E028B7"/>
    <w:rsid w:val="00E03248"/>
    <w:rsid w:val="00E042DE"/>
    <w:rsid w:val="00E04615"/>
    <w:rsid w:val="00E047AA"/>
    <w:rsid w:val="00E04EF8"/>
    <w:rsid w:val="00E1254A"/>
    <w:rsid w:val="00E128AC"/>
    <w:rsid w:val="00E13396"/>
    <w:rsid w:val="00E15E84"/>
    <w:rsid w:val="00E1610A"/>
    <w:rsid w:val="00E16B75"/>
    <w:rsid w:val="00E2010D"/>
    <w:rsid w:val="00E20193"/>
    <w:rsid w:val="00E21BC3"/>
    <w:rsid w:val="00E21EB6"/>
    <w:rsid w:val="00E22151"/>
    <w:rsid w:val="00E2384F"/>
    <w:rsid w:val="00E23A11"/>
    <w:rsid w:val="00E24BE3"/>
    <w:rsid w:val="00E26CFC"/>
    <w:rsid w:val="00E30095"/>
    <w:rsid w:val="00E308E6"/>
    <w:rsid w:val="00E31573"/>
    <w:rsid w:val="00E31B3D"/>
    <w:rsid w:val="00E32C6A"/>
    <w:rsid w:val="00E346C0"/>
    <w:rsid w:val="00E35784"/>
    <w:rsid w:val="00E37B42"/>
    <w:rsid w:val="00E40A5C"/>
    <w:rsid w:val="00E414FD"/>
    <w:rsid w:val="00E422C2"/>
    <w:rsid w:val="00E433C0"/>
    <w:rsid w:val="00E43EF8"/>
    <w:rsid w:val="00E44F23"/>
    <w:rsid w:val="00E479F9"/>
    <w:rsid w:val="00E47C2B"/>
    <w:rsid w:val="00E502B7"/>
    <w:rsid w:val="00E50A4D"/>
    <w:rsid w:val="00E51485"/>
    <w:rsid w:val="00E52E6C"/>
    <w:rsid w:val="00E52F07"/>
    <w:rsid w:val="00E5393C"/>
    <w:rsid w:val="00E53CCD"/>
    <w:rsid w:val="00E54566"/>
    <w:rsid w:val="00E548D7"/>
    <w:rsid w:val="00E56942"/>
    <w:rsid w:val="00E57AB9"/>
    <w:rsid w:val="00E60291"/>
    <w:rsid w:val="00E65116"/>
    <w:rsid w:val="00E6575B"/>
    <w:rsid w:val="00E65FE6"/>
    <w:rsid w:val="00E666E0"/>
    <w:rsid w:val="00E677BD"/>
    <w:rsid w:val="00E71A76"/>
    <w:rsid w:val="00E72BCF"/>
    <w:rsid w:val="00E73A3E"/>
    <w:rsid w:val="00E75F1E"/>
    <w:rsid w:val="00E760C1"/>
    <w:rsid w:val="00E76DFF"/>
    <w:rsid w:val="00E774B1"/>
    <w:rsid w:val="00E77FBA"/>
    <w:rsid w:val="00E82505"/>
    <w:rsid w:val="00E82F18"/>
    <w:rsid w:val="00E8355B"/>
    <w:rsid w:val="00E848AA"/>
    <w:rsid w:val="00E84FD6"/>
    <w:rsid w:val="00E9081C"/>
    <w:rsid w:val="00E912AE"/>
    <w:rsid w:val="00E91DA3"/>
    <w:rsid w:val="00E93E3B"/>
    <w:rsid w:val="00E94716"/>
    <w:rsid w:val="00E94832"/>
    <w:rsid w:val="00E94E0A"/>
    <w:rsid w:val="00E95AD4"/>
    <w:rsid w:val="00E95DF0"/>
    <w:rsid w:val="00E968D0"/>
    <w:rsid w:val="00E97025"/>
    <w:rsid w:val="00E97CE7"/>
    <w:rsid w:val="00EA0A5E"/>
    <w:rsid w:val="00EA2D08"/>
    <w:rsid w:val="00EA3555"/>
    <w:rsid w:val="00EA4251"/>
    <w:rsid w:val="00EA42BB"/>
    <w:rsid w:val="00EA49F8"/>
    <w:rsid w:val="00EA4E6A"/>
    <w:rsid w:val="00EA50D7"/>
    <w:rsid w:val="00EA52AA"/>
    <w:rsid w:val="00EA53EA"/>
    <w:rsid w:val="00EA717D"/>
    <w:rsid w:val="00EA737A"/>
    <w:rsid w:val="00EA7DE7"/>
    <w:rsid w:val="00EB0343"/>
    <w:rsid w:val="00EB0B6B"/>
    <w:rsid w:val="00EB1549"/>
    <w:rsid w:val="00EB4FB0"/>
    <w:rsid w:val="00EB5185"/>
    <w:rsid w:val="00EB5248"/>
    <w:rsid w:val="00EB637F"/>
    <w:rsid w:val="00EC12ED"/>
    <w:rsid w:val="00EC1339"/>
    <w:rsid w:val="00EC13C8"/>
    <w:rsid w:val="00EC1FB9"/>
    <w:rsid w:val="00EC35F2"/>
    <w:rsid w:val="00EC5DB0"/>
    <w:rsid w:val="00EC6C7D"/>
    <w:rsid w:val="00EC6DB0"/>
    <w:rsid w:val="00EC7062"/>
    <w:rsid w:val="00EC72DF"/>
    <w:rsid w:val="00EC769E"/>
    <w:rsid w:val="00EC783A"/>
    <w:rsid w:val="00ED0A8C"/>
    <w:rsid w:val="00ED3AC1"/>
    <w:rsid w:val="00ED3C48"/>
    <w:rsid w:val="00ED46CA"/>
    <w:rsid w:val="00ED6200"/>
    <w:rsid w:val="00ED67B6"/>
    <w:rsid w:val="00ED786E"/>
    <w:rsid w:val="00ED7ED9"/>
    <w:rsid w:val="00EE0131"/>
    <w:rsid w:val="00EE0240"/>
    <w:rsid w:val="00EE0D07"/>
    <w:rsid w:val="00EE14E9"/>
    <w:rsid w:val="00EE3170"/>
    <w:rsid w:val="00EE43B4"/>
    <w:rsid w:val="00EE45D4"/>
    <w:rsid w:val="00EE5090"/>
    <w:rsid w:val="00EE51E3"/>
    <w:rsid w:val="00EE5F5D"/>
    <w:rsid w:val="00EE698C"/>
    <w:rsid w:val="00EF021C"/>
    <w:rsid w:val="00EF125A"/>
    <w:rsid w:val="00EF1773"/>
    <w:rsid w:val="00EF2376"/>
    <w:rsid w:val="00EF2E7B"/>
    <w:rsid w:val="00EF4B66"/>
    <w:rsid w:val="00EF5D06"/>
    <w:rsid w:val="00EF5F3E"/>
    <w:rsid w:val="00EF7E45"/>
    <w:rsid w:val="00F037AD"/>
    <w:rsid w:val="00F0659F"/>
    <w:rsid w:val="00F07B6F"/>
    <w:rsid w:val="00F07E11"/>
    <w:rsid w:val="00F10F18"/>
    <w:rsid w:val="00F117B9"/>
    <w:rsid w:val="00F12C6A"/>
    <w:rsid w:val="00F12DFD"/>
    <w:rsid w:val="00F15DB3"/>
    <w:rsid w:val="00F15E66"/>
    <w:rsid w:val="00F16433"/>
    <w:rsid w:val="00F175AF"/>
    <w:rsid w:val="00F17EE3"/>
    <w:rsid w:val="00F2258B"/>
    <w:rsid w:val="00F22A85"/>
    <w:rsid w:val="00F2437D"/>
    <w:rsid w:val="00F25746"/>
    <w:rsid w:val="00F26355"/>
    <w:rsid w:val="00F269DD"/>
    <w:rsid w:val="00F2767E"/>
    <w:rsid w:val="00F27957"/>
    <w:rsid w:val="00F27B40"/>
    <w:rsid w:val="00F27ED5"/>
    <w:rsid w:val="00F30C03"/>
    <w:rsid w:val="00F31331"/>
    <w:rsid w:val="00F314FF"/>
    <w:rsid w:val="00F33454"/>
    <w:rsid w:val="00F33A08"/>
    <w:rsid w:val="00F36CE6"/>
    <w:rsid w:val="00F404FA"/>
    <w:rsid w:val="00F405BF"/>
    <w:rsid w:val="00F40B63"/>
    <w:rsid w:val="00F41DF7"/>
    <w:rsid w:val="00F44554"/>
    <w:rsid w:val="00F450B7"/>
    <w:rsid w:val="00F47A9D"/>
    <w:rsid w:val="00F509B2"/>
    <w:rsid w:val="00F51C91"/>
    <w:rsid w:val="00F52745"/>
    <w:rsid w:val="00F52CE2"/>
    <w:rsid w:val="00F536BE"/>
    <w:rsid w:val="00F537CF"/>
    <w:rsid w:val="00F55C9E"/>
    <w:rsid w:val="00F5616A"/>
    <w:rsid w:val="00F5625F"/>
    <w:rsid w:val="00F57725"/>
    <w:rsid w:val="00F57860"/>
    <w:rsid w:val="00F57F75"/>
    <w:rsid w:val="00F6238B"/>
    <w:rsid w:val="00F625A6"/>
    <w:rsid w:val="00F6351C"/>
    <w:rsid w:val="00F63528"/>
    <w:rsid w:val="00F665B8"/>
    <w:rsid w:val="00F66648"/>
    <w:rsid w:val="00F67CDD"/>
    <w:rsid w:val="00F70273"/>
    <w:rsid w:val="00F704D3"/>
    <w:rsid w:val="00F73E3F"/>
    <w:rsid w:val="00F73FDE"/>
    <w:rsid w:val="00F74B14"/>
    <w:rsid w:val="00F75184"/>
    <w:rsid w:val="00F752ED"/>
    <w:rsid w:val="00F752FA"/>
    <w:rsid w:val="00F75D21"/>
    <w:rsid w:val="00F76717"/>
    <w:rsid w:val="00F77AD6"/>
    <w:rsid w:val="00F80301"/>
    <w:rsid w:val="00F811A1"/>
    <w:rsid w:val="00F81EE9"/>
    <w:rsid w:val="00F82F1B"/>
    <w:rsid w:val="00F85286"/>
    <w:rsid w:val="00F86065"/>
    <w:rsid w:val="00F86A42"/>
    <w:rsid w:val="00F8716D"/>
    <w:rsid w:val="00F90681"/>
    <w:rsid w:val="00F91013"/>
    <w:rsid w:val="00F93FE6"/>
    <w:rsid w:val="00F9663B"/>
    <w:rsid w:val="00F968F7"/>
    <w:rsid w:val="00F96A58"/>
    <w:rsid w:val="00F96E17"/>
    <w:rsid w:val="00F970C4"/>
    <w:rsid w:val="00F9770B"/>
    <w:rsid w:val="00F97DD5"/>
    <w:rsid w:val="00FA1EDA"/>
    <w:rsid w:val="00FA2461"/>
    <w:rsid w:val="00FA29D6"/>
    <w:rsid w:val="00FA47DD"/>
    <w:rsid w:val="00FA773F"/>
    <w:rsid w:val="00FB0C98"/>
    <w:rsid w:val="00FB31E8"/>
    <w:rsid w:val="00FB3F5F"/>
    <w:rsid w:val="00FB45F3"/>
    <w:rsid w:val="00FB4ACD"/>
    <w:rsid w:val="00FB4D12"/>
    <w:rsid w:val="00FB64DB"/>
    <w:rsid w:val="00FB70E5"/>
    <w:rsid w:val="00FB716D"/>
    <w:rsid w:val="00FB7B5D"/>
    <w:rsid w:val="00FC10FF"/>
    <w:rsid w:val="00FC1BB2"/>
    <w:rsid w:val="00FC1C6E"/>
    <w:rsid w:val="00FC2705"/>
    <w:rsid w:val="00FC2EA4"/>
    <w:rsid w:val="00FC3AE4"/>
    <w:rsid w:val="00FC4692"/>
    <w:rsid w:val="00FC5B36"/>
    <w:rsid w:val="00FC615F"/>
    <w:rsid w:val="00FC71D8"/>
    <w:rsid w:val="00FD040F"/>
    <w:rsid w:val="00FD0ECB"/>
    <w:rsid w:val="00FD26C7"/>
    <w:rsid w:val="00FD3C23"/>
    <w:rsid w:val="00FD4F09"/>
    <w:rsid w:val="00FD4FE1"/>
    <w:rsid w:val="00FD5D48"/>
    <w:rsid w:val="00FD67DE"/>
    <w:rsid w:val="00FE08FB"/>
    <w:rsid w:val="00FE0C59"/>
    <w:rsid w:val="00FE158F"/>
    <w:rsid w:val="00FE1B9D"/>
    <w:rsid w:val="00FE2C3E"/>
    <w:rsid w:val="00FE3285"/>
    <w:rsid w:val="00FE4454"/>
    <w:rsid w:val="00FE4E3A"/>
    <w:rsid w:val="00FE64BE"/>
    <w:rsid w:val="00FE6CED"/>
    <w:rsid w:val="00FF0555"/>
    <w:rsid w:val="00FF0C87"/>
    <w:rsid w:val="00FF135B"/>
    <w:rsid w:val="00FF2795"/>
    <w:rsid w:val="00FF3237"/>
    <w:rsid w:val="00FF4C8F"/>
    <w:rsid w:val="01D62B67"/>
    <w:rsid w:val="01DA42E9"/>
    <w:rsid w:val="02504784"/>
    <w:rsid w:val="026D52A5"/>
    <w:rsid w:val="02954DD9"/>
    <w:rsid w:val="02C17B40"/>
    <w:rsid w:val="02DC7F56"/>
    <w:rsid w:val="02EA7BD8"/>
    <w:rsid w:val="03705AE2"/>
    <w:rsid w:val="0377465D"/>
    <w:rsid w:val="03BB2CAC"/>
    <w:rsid w:val="03FA7F3B"/>
    <w:rsid w:val="04507B15"/>
    <w:rsid w:val="046566C3"/>
    <w:rsid w:val="04996047"/>
    <w:rsid w:val="04B305AF"/>
    <w:rsid w:val="053129F2"/>
    <w:rsid w:val="058A339E"/>
    <w:rsid w:val="05A57FC3"/>
    <w:rsid w:val="05BA2DBE"/>
    <w:rsid w:val="05CF05EE"/>
    <w:rsid w:val="05FC7CFD"/>
    <w:rsid w:val="063039D8"/>
    <w:rsid w:val="06330B61"/>
    <w:rsid w:val="065C63B0"/>
    <w:rsid w:val="06A57D5F"/>
    <w:rsid w:val="075B2F26"/>
    <w:rsid w:val="076F7476"/>
    <w:rsid w:val="0795549C"/>
    <w:rsid w:val="07D771E3"/>
    <w:rsid w:val="0856095B"/>
    <w:rsid w:val="08942986"/>
    <w:rsid w:val="08E77E75"/>
    <w:rsid w:val="08F335A1"/>
    <w:rsid w:val="09477D2F"/>
    <w:rsid w:val="09520DC9"/>
    <w:rsid w:val="09C81807"/>
    <w:rsid w:val="09CC463D"/>
    <w:rsid w:val="0A5A6EEE"/>
    <w:rsid w:val="0A5E3D5B"/>
    <w:rsid w:val="0A794B3C"/>
    <w:rsid w:val="0AB91F89"/>
    <w:rsid w:val="0AF23700"/>
    <w:rsid w:val="0B214169"/>
    <w:rsid w:val="0B2513E2"/>
    <w:rsid w:val="0B576622"/>
    <w:rsid w:val="0B800950"/>
    <w:rsid w:val="0BAE7EE9"/>
    <w:rsid w:val="0BC26DC1"/>
    <w:rsid w:val="0BF235FB"/>
    <w:rsid w:val="0BFE4351"/>
    <w:rsid w:val="0C19747F"/>
    <w:rsid w:val="0C441EB2"/>
    <w:rsid w:val="0CCF261B"/>
    <w:rsid w:val="0CEF6AB0"/>
    <w:rsid w:val="0D4677B3"/>
    <w:rsid w:val="0D736E06"/>
    <w:rsid w:val="0D8C3BF4"/>
    <w:rsid w:val="0D9D7442"/>
    <w:rsid w:val="0DB95D39"/>
    <w:rsid w:val="0E016531"/>
    <w:rsid w:val="0E33746D"/>
    <w:rsid w:val="0E5D0058"/>
    <w:rsid w:val="0E642092"/>
    <w:rsid w:val="0E783AEA"/>
    <w:rsid w:val="0E8C7DC3"/>
    <w:rsid w:val="0E9446FB"/>
    <w:rsid w:val="0EA838A2"/>
    <w:rsid w:val="0EAB645E"/>
    <w:rsid w:val="0EF523BA"/>
    <w:rsid w:val="0F1502A7"/>
    <w:rsid w:val="0F237BD8"/>
    <w:rsid w:val="0F7B79B4"/>
    <w:rsid w:val="0FBB679F"/>
    <w:rsid w:val="102F66A1"/>
    <w:rsid w:val="1038269B"/>
    <w:rsid w:val="10607751"/>
    <w:rsid w:val="108D0D20"/>
    <w:rsid w:val="10DF2152"/>
    <w:rsid w:val="10F93E0B"/>
    <w:rsid w:val="113B7FD4"/>
    <w:rsid w:val="11D17D91"/>
    <w:rsid w:val="11F6457A"/>
    <w:rsid w:val="11FE4B44"/>
    <w:rsid w:val="120A2C24"/>
    <w:rsid w:val="121E2730"/>
    <w:rsid w:val="12807076"/>
    <w:rsid w:val="12B351C3"/>
    <w:rsid w:val="13055E25"/>
    <w:rsid w:val="130D5F01"/>
    <w:rsid w:val="136743C8"/>
    <w:rsid w:val="139D577E"/>
    <w:rsid w:val="13E668F0"/>
    <w:rsid w:val="140D3361"/>
    <w:rsid w:val="140E529D"/>
    <w:rsid w:val="140F18A3"/>
    <w:rsid w:val="14190C64"/>
    <w:rsid w:val="144C7E94"/>
    <w:rsid w:val="149C2607"/>
    <w:rsid w:val="14B367D1"/>
    <w:rsid w:val="14C51597"/>
    <w:rsid w:val="14CD32CA"/>
    <w:rsid w:val="151A24F7"/>
    <w:rsid w:val="155E42DB"/>
    <w:rsid w:val="157D4721"/>
    <w:rsid w:val="15987C96"/>
    <w:rsid w:val="15EF1A9D"/>
    <w:rsid w:val="161C4930"/>
    <w:rsid w:val="1642195C"/>
    <w:rsid w:val="164C5808"/>
    <w:rsid w:val="1653372D"/>
    <w:rsid w:val="1660062E"/>
    <w:rsid w:val="168E584C"/>
    <w:rsid w:val="16A638ED"/>
    <w:rsid w:val="17162F1F"/>
    <w:rsid w:val="175611D0"/>
    <w:rsid w:val="176A69F7"/>
    <w:rsid w:val="17B85591"/>
    <w:rsid w:val="17E1167E"/>
    <w:rsid w:val="18076CC4"/>
    <w:rsid w:val="18644C79"/>
    <w:rsid w:val="18D853E7"/>
    <w:rsid w:val="19242728"/>
    <w:rsid w:val="194F1E2E"/>
    <w:rsid w:val="195F009B"/>
    <w:rsid w:val="19935C00"/>
    <w:rsid w:val="1A676596"/>
    <w:rsid w:val="1AD21063"/>
    <w:rsid w:val="1AE52FEC"/>
    <w:rsid w:val="1AFE63A1"/>
    <w:rsid w:val="1B010CC8"/>
    <w:rsid w:val="1BA60B2E"/>
    <w:rsid w:val="1C197977"/>
    <w:rsid w:val="1C5311AF"/>
    <w:rsid w:val="1C821A4D"/>
    <w:rsid w:val="1C886B39"/>
    <w:rsid w:val="1CD17C54"/>
    <w:rsid w:val="1CDE5513"/>
    <w:rsid w:val="1CF850C2"/>
    <w:rsid w:val="1D6229AA"/>
    <w:rsid w:val="1DCD3220"/>
    <w:rsid w:val="1DCF1714"/>
    <w:rsid w:val="1DDD79F2"/>
    <w:rsid w:val="1DF3496B"/>
    <w:rsid w:val="1E3C3444"/>
    <w:rsid w:val="1E431C38"/>
    <w:rsid w:val="1E5B32B8"/>
    <w:rsid w:val="1E9508A4"/>
    <w:rsid w:val="1EAA5001"/>
    <w:rsid w:val="1ED81275"/>
    <w:rsid w:val="1EDB3FCE"/>
    <w:rsid w:val="1EE7730C"/>
    <w:rsid w:val="1F844302"/>
    <w:rsid w:val="1FEE594A"/>
    <w:rsid w:val="200976B6"/>
    <w:rsid w:val="206D1CB8"/>
    <w:rsid w:val="209967D8"/>
    <w:rsid w:val="20F7640E"/>
    <w:rsid w:val="21194749"/>
    <w:rsid w:val="212B6137"/>
    <w:rsid w:val="21812F70"/>
    <w:rsid w:val="21972CFF"/>
    <w:rsid w:val="21C40077"/>
    <w:rsid w:val="21C54421"/>
    <w:rsid w:val="2208711B"/>
    <w:rsid w:val="22F93428"/>
    <w:rsid w:val="22FF69C7"/>
    <w:rsid w:val="230C3963"/>
    <w:rsid w:val="230E6542"/>
    <w:rsid w:val="231D617F"/>
    <w:rsid w:val="235213D0"/>
    <w:rsid w:val="23751BE4"/>
    <w:rsid w:val="23DD2696"/>
    <w:rsid w:val="23DD3D10"/>
    <w:rsid w:val="24694F80"/>
    <w:rsid w:val="24993250"/>
    <w:rsid w:val="249C3BDB"/>
    <w:rsid w:val="24B9122B"/>
    <w:rsid w:val="24E7044C"/>
    <w:rsid w:val="24EC5BAD"/>
    <w:rsid w:val="25265972"/>
    <w:rsid w:val="257B5B9E"/>
    <w:rsid w:val="25854031"/>
    <w:rsid w:val="259A7A0E"/>
    <w:rsid w:val="26204894"/>
    <w:rsid w:val="263B793C"/>
    <w:rsid w:val="26D5744A"/>
    <w:rsid w:val="27003C9B"/>
    <w:rsid w:val="273B4EEB"/>
    <w:rsid w:val="27520C21"/>
    <w:rsid w:val="275808DA"/>
    <w:rsid w:val="27650F9E"/>
    <w:rsid w:val="276E2B87"/>
    <w:rsid w:val="27B30583"/>
    <w:rsid w:val="27E85386"/>
    <w:rsid w:val="280D0775"/>
    <w:rsid w:val="283466D6"/>
    <w:rsid w:val="28527E9E"/>
    <w:rsid w:val="28645DF0"/>
    <w:rsid w:val="2888316A"/>
    <w:rsid w:val="28A607AF"/>
    <w:rsid w:val="28CA7E4E"/>
    <w:rsid w:val="28D96DC7"/>
    <w:rsid w:val="296279C1"/>
    <w:rsid w:val="29747553"/>
    <w:rsid w:val="297726B2"/>
    <w:rsid w:val="29A9274A"/>
    <w:rsid w:val="29CE09B7"/>
    <w:rsid w:val="2A096AEB"/>
    <w:rsid w:val="2A0A337E"/>
    <w:rsid w:val="2A10196B"/>
    <w:rsid w:val="2A533B28"/>
    <w:rsid w:val="2AA56C4B"/>
    <w:rsid w:val="2AC63E41"/>
    <w:rsid w:val="2B6F4251"/>
    <w:rsid w:val="2B7A76DB"/>
    <w:rsid w:val="2B883811"/>
    <w:rsid w:val="2BB700C7"/>
    <w:rsid w:val="2C101677"/>
    <w:rsid w:val="2C511329"/>
    <w:rsid w:val="2C5A23CE"/>
    <w:rsid w:val="2C5D3B59"/>
    <w:rsid w:val="2CDE0483"/>
    <w:rsid w:val="2D132804"/>
    <w:rsid w:val="2D136F40"/>
    <w:rsid w:val="2D151543"/>
    <w:rsid w:val="2D4343E3"/>
    <w:rsid w:val="2DB81E68"/>
    <w:rsid w:val="2DBA05FA"/>
    <w:rsid w:val="2E381FC4"/>
    <w:rsid w:val="2E59064C"/>
    <w:rsid w:val="2E6D37B4"/>
    <w:rsid w:val="2E945E70"/>
    <w:rsid w:val="2EC810ED"/>
    <w:rsid w:val="2EEE717B"/>
    <w:rsid w:val="2F0C7C4E"/>
    <w:rsid w:val="2F297D48"/>
    <w:rsid w:val="2F393383"/>
    <w:rsid w:val="2F61315C"/>
    <w:rsid w:val="2F652870"/>
    <w:rsid w:val="2F7465B3"/>
    <w:rsid w:val="2FEC05A3"/>
    <w:rsid w:val="2FF01A2D"/>
    <w:rsid w:val="301472B6"/>
    <w:rsid w:val="30213F78"/>
    <w:rsid w:val="302A68BC"/>
    <w:rsid w:val="30634B5E"/>
    <w:rsid w:val="309C49E7"/>
    <w:rsid w:val="30A96BDF"/>
    <w:rsid w:val="30E23219"/>
    <w:rsid w:val="31180954"/>
    <w:rsid w:val="3139289E"/>
    <w:rsid w:val="315C03A6"/>
    <w:rsid w:val="3180543C"/>
    <w:rsid w:val="318F6E26"/>
    <w:rsid w:val="319117DB"/>
    <w:rsid w:val="31D8633F"/>
    <w:rsid w:val="32491572"/>
    <w:rsid w:val="32706C64"/>
    <w:rsid w:val="32712479"/>
    <w:rsid w:val="32714DD8"/>
    <w:rsid w:val="32877B20"/>
    <w:rsid w:val="32AC1C1A"/>
    <w:rsid w:val="32BA1644"/>
    <w:rsid w:val="32DC7170"/>
    <w:rsid w:val="32DF1B37"/>
    <w:rsid w:val="32FA3FEB"/>
    <w:rsid w:val="330C2AB2"/>
    <w:rsid w:val="33253ED5"/>
    <w:rsid w:val="332D01B7"/>
    <w:rsid w:val="33336B18"/>
    <w:rsid w:val="33562327"/>
    <w:rsid w:val="33714DF3"/>
    <w:rsid w:val="338529D5"/>
    <w:rsid w:val="33D740F5"/>
    <w:rsid w:val="34174DA3"/>
    <w:rsid w:val="34944F10"/>
    <w:rsid w:val="34A11EFE"/>
    <w:rsid w:val="34D05516"/>
    <w:rsid w:val="34EC23EC"/>
    <w:rsid w:val="350B452A"/>
    <w:rsid w:val="353F752B"/>
    <w:rsid w:val="35B17191"/>
    <w:rsid w:val="35B93C46"/>
    <w:rsid w:val="35C90B3C"/>
    <w:rsid w:val="35CA6C31"/>
    <w:rsid w:val="35F634C9"/>
    <w:rsid w:val="362A11B2"/>
    <w:rsid w:val="36603C48"/>
    <w:rsid w:val="367361A2"/>
    <w:rsid w:val="367D60E3"/>
    <w:rsid w:val="369A4117"/>
    <w:rsid w:val="36BA1EEE"/>
    <w:rsid w:val="36CF77EE"/>
    <w:rsid w:val="36EC1BCA"/>
    <w:rsid w:val="37A018EB"/>
    <w:rsid w:val="37BD2E91"/>
    <w:rsid w:val="37EC3B6D"/>
    <w:rsid w:val="380B3894"/>
    <w:rsid w:val="38523EAE"/>
    <w:rsid w:val="3891696D"/>
    <w:rsid w:val="39402BD3"/>
    <w:rsid w:val="394E543B"/>
    <w:rsid w:val="39BA6B4B"/>
    <w:rsid w:val="39D216F6"/>
    <w:rsid w:val="39F65205"/>
    <w:rsid w:val="3A3A291E"/>
    <w:rsid w:val="3A426B6D"/>
    <w:rsid w:val="3A8829D9"/>
    <w:rsid w:val="3B150F8D"/>
    <w:rsid w:val="3B1C566E"/>
    <w:rsid w:val="3B4017CF"/>
    <w:rsid w:val="3B7618B2"/>
    <w:rsid w:val="3BC42972"/>
    <w:rsid w:val="3BCA05FC"/>
    <w:rsid w:val="3BE2552B"/>
    <w:rsid w:val="3BED0457"/>
    <w:rsid w:val="3BEE106B"/>
    <w:rsid w:val="3C0F44CA"/>
    <w:rsid w:val="3C490885"/>
    <w:rsid w:val="3C632425"/>
    <w:rsid w:val="3C743E46"/>
    <w:rsid w:val="3CA241D9"/>
    <w:rsid w:val="3CC3074F"/>
    <w:rsid w:val="3CDB2E21"/>
    <w:rsid w:val="3D50689F"/>
    <w:rsid w:val="3DA775AE"/>
    <w:rsid w:val="3DD23139"/>
    <w:rsid w:val="3E2005BC"/>
    <w:rsid w:val="3E4F4491"/>
    <w:rsid w:val="3E7E4E11"/>
    <w:rsid w:val="3ED94565"/>
    <w:rsid w:val="3EE610C7"/>
    <w:rsid w:val="3F2F500D"/>
    <w:rsid w:val="3F403DDE"/>
    <w:rsid w:val="3F614A1D"/>
    <w:rsid w:val="3F6A284E"/>
    <w:rsid w:val="3F7A1EAE"/>
    <w:rsid w:val="3F7A4F07"/>
    <w:rsid w:val="3F951E45"/>
    <w:rsid w:val="3FC221D1"/>
    <w:rsid w:val="40932E79"/>
    <w:rsid w:val="40A65AB4"/>
    <w:rsid w:val="41154E0B"/>
    <w:rsid w:val="411F6705"/>
    <w:rsid w:val="413F4023"/>
    <w:rsid w:val="415B51F7"/>
    <w:rsid w:val="416626E1"/>
    <w:rsid w:val="41790303"/>
    <w:rsid w:val="419640D9"/>
    <w:rsid w:val="41A04A53"/>
    <w:rsid w:val="41AB7993"/>
    <w:rsid w:val="41C81036"/>
    <w:rsid w:val="42022CAA"/>
    <w:rsid w:val="422E5393"/>
    <w:rsid w:val="427F0ED4"/>
    <w:rsid w:val="42ED102F"/>
    <w:rsid w:val="43145B35"/>
    <w:rsid w:val="436729BB"/>
    <w:rsid w:val="437D281D"/>
    <w:rsid w:val="43995722"/>
    <w:rsid w:val="43A90CF4"/>
    <w:rsid w:val="43BE5E84"/>
    <w:rsid w:val="43EE4343"/>
    <w:rsid w:val="440923F6"/>
    <w:rsid w:val="440B6283"/>
    <w:rsid w:val="44264EC8"/>
    <w:rsid w:val="446D6760"/>
    <w:rsid w:val="44D4584E"/>
    <w:rsid w:val="459A1F4F"/>
    <w:rsid w:val="45B4480B"/>
    <w:rsid w:val="45D33456"/>
    <w:rsid w:val="45EC212C"/>
    <w:rsid w:val="46190CD2"/>
    <w:rsid w:val="46C24DD1"/>
    <w:rsid w:val="470A5CA2"/>
    <w:rsid w:val="4714183D"/>
    <w:rsid w:val="47980BCC"/>
    <w:rsid w:val="47991D8B"/>
    <w:rsid w:val="483E474F"/>
    <w:rsid w:val="488C1315"/>
    <w:rsid w:val="48B90FFB"/>
    <w:rsid w:val="48D112CC"/>
    <w:rsid w:val="4900506A"/>
    <w:rsid w:val="492E0498"/>
    <w:rsid w:val="497E657A"/>
    <w:rsid w:val="49E941E3"/>
    <w:rsid w:val="4A1F17B3"/>
    <w:rsid w:val="4A2A6243"/>
    <w:rsid w:val="4A392A56"/>
    <w:rsid w:val="4A422B3A"/>
    <w:rsid w:val="4A7B1862"/>
    <w:rsid w:val="4AAE4415"/>
    <w:rsid w:val="4ACB45C7"/>
    <w:rsid w:val="4AE266FF"/>
    <w:rsid w:val="4B05657D"/>
    <w:rsid w:val="4B2F3197"/>
    <w:rsid w:val="4B5F31DC"/>
    <w:rsid w:val="4B612567"/>
    <w:rsid w:val="4B8E0C8F"/>
    <w:rsid w:val="4BA4270B"/>
    <w:rsid w:val="4BC848C8"/>
    <w:rsid w:val="4BCC5BEF"/>
    <w:rsid w:val="4BE62514"/>
    <w:rsid w:val="4C070338"/>
    <w:rsid w:val="4C28285C"/>
    <w:rsid w:val="4C5174E3"/>
    <w:rsid w:val="4C5A6D1D"/>
    <w:rsid w:val="4C782777"/>
    <w:rsid w:val="4C7A26B4"/>
    <w:rsid w:val="4CC52E9D"/>
    <w:rsid w:val="4D0E721B"/>
    <w:rsid w:val="4D3161AA"/>
    <w:rsid w:val="4D35194F"/>
    <w:rsid w:val="4DA4541F"/>
    <w:rsid w:val="4E062766"/>
    <w:rsid w:val="4E801915"/>
    <w:rsid w:val="4E8257A6"/>
    <w:rsid w:val="4ED52251"/>
    <w:rsid w:val="4F3C30D4"/>
    <w:rsid w:val="4F59218C"/>
    <w:rsid w:val="4F6F7132"/>
    <w:rsid w:val="500B17B6"/>
    <w:rsid w:val="502B7517"/>
    <w:rsid w:val="503A023F"/>
    <w:rsid w:val="50A83C47"/>
    <w:rsid w:val="50C00FB3"/>
    <w:rsid w:val="50F04AEA"/>
    <w:rsid w:val="51670B7C"/>
    <w:rsid w:val="51B0433B"/>
    <w:rsid w:val="51B32F5D"/>
    <w:rsid w:val="51B43F43"/>
    <w:rsid w:val="51C639B0"/>
    <w:rsid w:val="51E50613"/>
    <w:rsid w:val="51E82472"/>
    <w:rsid w:val="520275E3"/>
    <w:rsid w:val="52296DC6"/>
    <w:rsid w:val="523D10DC"/>
    <w:rsid w:val="52A33EDE"/>
    <w:rsid w:val="52C06FFB"/>
    <w:rsid w:val="530134FB"/>
    <w:rsid w:val="535B7165"/>
    <w:rsid w:val="53726B49"/>
    <w:rsid w:val="53A10723"/>
    <w:rsid w:val="53B263AB"/>
    <w:rsid w:val="53BE3C4B"/>
    <w:rsid w:val="54330815"/>
    <w:rsid w:val="543A044C"/>
    <w:rsid w:val="543F59CF"/>
    <w:rsid w:val="544F1D85"/>
    <w:rsid w:val="54A71925"/>
    <w:rsid w:val="54B131CD"/>
    <w:rsid w:val="54FF774B"/>
    <w:rsid w:val="55142C9E"/>
    <w:rsid w:val="554349D3"/>
    <w:rsid w:val="55717D88"/>
    <w:rsid w:val="55721B40"/>
    <w:rsid w:val="55A01180"/>
    <w:rsid w:val="55B67510"/>
    <w:rsid w:val="55F7124D"/>
    <w:rsid w:val="562109B7"/>
    <w:rsid w:val="56255F01"/>
    <w:rsid w:val="565A7993"/>
    <w:rsid w:val="56973A81"/>
    <w:rsid w:val="56A06236"/>
    <w:rsid w:val="56B82FB6"/>
    <w:rsid w:val="56DB371A"/>
    <w:rsid w:val="57155615"/>
    <w:rsid w:val="57476C9F"/>
    <w:rsid w:val="575950EE"/>
    <w:rsid w:val="579D2BFA"/>
    <w:rsid w:val="57DC0CC0"/>
    <w:rsid w:val="582D6232"/>
    <w:rsid w:val="5845068C"/>
    <w:rsid w:val="58535E3F"/>
    <w:rsid w:val="587318F8"/>
    <w:rsid w:val="58B13E1A"/>
    <w:rsid w:val="58C94A1B"/>
    <w:rsid w:val="58EE3883"/>
    <w:rsid w:val="5932189B"/>
    <w:rsid w:val="59523BB5"/>
    <w:rsid w:val="59613060"/>
    <w:rsid w:val="59692FFF"/>
    <w:rsid w:val="59873F7E"/>
    <w:rsid w:val="599D4829"/>
    <w:rsid w:val="59B6675B"/>
    <w:rsid w:val="59BD5383"/>
    <w:rsid w:val="59D23809"/>
    <w:rsid w:val="5A054F89"/>
    <w:rsid w:val="5A082C94"/>
    <w:rsid w:val="5A315DFB"/>
    <w:rsid w:val="5A4D775E"/>
    <w:rsid w:val="5A8743DE"/>
    <w:rsid w:val="5A905611"/>
    <w:rsid w:val="5AB665ED"/>
    <w:rsid w:val="5AF77C04"/>
    <w:rsid w:val="5B43252D"/>
    <w:rsid w:val="5B580619"/>
    <w:rsid w:val="5B61653C"/>
    <w:rsid w:val="5B64021B"/>
    <w:rsid w:val="5B6C6B4D"/>
    <w:rsid w:val="5BB379B9"/>
    <w:rsid w:val="5BCB4535"/>
    <w:rsid w:val="5C751C66"/>
    <w:rsid w:val="5C931693"/>
    <w:rsid w:val="5CEA1C2C"/>
    <w:rsid w:val="5D121D6F"/>
    <w:rsid w:val="5D34398F"/>
    <w:rsid w:val="5D541C67"/>
    <w:rsid w:val="5DB6665F"/>
    <w:rsid w:val="5E30142C"/>
    <w:rsid w:val="5E317FF6"/>
    <w:rsid w:val="5EF211C5"/>
    <w:rsid w:val="5EFF3338"/>
    <w:rsid w:val="5F205DDB"/>
    <w:rsid w:val="5F324F77"/>
    <w:rsid w:val="5F37569D"/>
    <w:rsid w:val="5F594E9B"/>
    <w:rsid w:val="5FCC18F4"/>
    <w:rsid w:val="6014258E"/>
    <w:rsid w:val="604C2EE5"/>
    <w:rsid w:val="606349F5"/>
    <w:rsid w:val="60774AD7"/>
    <w:rsid w:val="607A2FFE"/>
    <w:rsid w:val="60947B52"/>
    <w:rsid w:val="60E75904"/>
    <w:rsid w:val="60F51EFD"/>
    <w:rsid w:val="60F57E51"/>
    <w:rsid w:val="60FD0BEF"/>
    <w:rsid w:val="612B248C"/>
    <w:rsid w:val="614A1E51"/>
    <w:rsid w:val="615C4824"/>
    <w:rsid w:val="61A40A2D"/>
    <w:rsid w:val="61B30281"/>
    <w:rsid w:val="61BA66CB"/>
    <w:rsid w:val="61DE422A"/>
    <w:rsid w:val="61FC3E0F"/>
    <w:rsid w:val="62173404"/>
    <w:rsid w:val="6261315A"/>
    <w:rsid w:val="626D4F10"/>
    <w:rsid w:val="62BB6524"/>
    <w:rsid w:val="62DE34D1"/>
    <w:rsid w:val="62F71EF8"/>
    <w:rsid w:val="632859FD"/>
    <w:rsid w:val="633B1990"/>
    <w:rsid w:val="635F54BD"/>
    <w:rsid w:val="63664626"/>
    <w:rsid w:val="63C952D5"/>
    <w:rsid w:val="641121E6"/>
    <w:rsid w:val="64265011"/>
    <w:rsid w:val="642F5FA2"/>
    <w:rsid w:val="64B206D6"/>
    <w:rsid w:val="64CD0CA2"/>
    <w:rsid w:val="64D86FBA"/>
    <w:rsid w:val="65152792"/>
    <w:rsid w:val="65AE00FC"/>
    <w:rsid w:val="65FF7462"/>
    <w:rsid w:val="661B775F"/>
    <w:rsid w:val="667218C2"/>
    <w:rsid w:val="66742471"/>
    <w:rsid w:val="667C676D"/>
    <w:rsid w:val="671B3279"/>
    <w:rsid w:val="675410D1"/>
    <w:rsid w:val="677D5959"/>
    <w:rsid w:val="67D33B4A"/>
    <w:rsid w:val="68363E6C"/>
    <w:rsid w:val="683C0A1E"/>
    <w:rsid w:val="68BE4D84"/>
    <w:rsid w:val="68F75699"/>
    <w:rsid w:val="693C4B90"/>
    <w:rsid w:val="695E11D7"/>
    <w:rsid w:val="696B3ABA"/>
    <w:rsid w:val="698B7E67"/>
    <w:rsid w:val="69C021C2"/>
    <w:rsid w:val="6A5C0420"/>
    <w:rsid w:val="6A866C6F"/>
    <w:rsid w:val="6AA61E37"/>
    <w:rsid w:val="6AAB6836"/>
    <w:rsid w:val="6AB55624"/>
    <w:rsid w:val="6AFB413A"/>
    <w:rsid w:val="6B1E0782"/>
    <w:rsid w:val="6B2D640B"/>
    <w:rsid w:val="6B517441"/>
    <w:rsid w:val="6B9622EC"/>
    <w:rsid w:val="6BA7492F"/>
    <w:rsid w:val="6C0B15C1"/>
    <w:rsid w:val="6C1B5ACB"/>
    <w:rsid w:val="6C4D5789"/>
    <w:rsid w:val="6C527B9A"/>
    <w:rsid w:val="6C7F46F4"/>
    <w:rsid w:val="6C8931B1"/>
    <w:rsid w:val="6CEE20AE"/>
    <w:rsid w:val="6D037664"/>
    <w:rsid w:val="6D132720"/>
    <w:rsid w:val="6D134560"/>
    <w:rsid w:val="6D5263F0"/>
    <w:rsid w:val="6D5D1B94"/>
    <w:rsid w:val="6DBE31C8"/>
    <w:rsid w:val="6E7D0F2D"/>
    <w:rsid w:val="6EC72DE8"/>
    <w:rsid w:val="6ED673A6"/>
    <w:rsid w:val="6F287B24"/>
    <w:rsid w:val="6F7B0875"/>
    <w:rsid w:val="6FA200C0"/>
    <w:rsid w:val="6FCF7D92"/>
    <w:rsid w:val="6FD54EFB"/>
    <w:rsid w:val="6FE764CD"/>
    <w:rsid w:val="6FE91A42"/>
    <w:rsid w:val="70142F57"/>
    <w:rsid w:val="70151B6A"/>
    <w:rsid w:val="70B03E04"/>
    <w:rsid w:val="70C3369F"/>
    <w:rsid w:val="70E256DC"/>
    <w:rsid w:val="70FE29DE"/>
    <w:rsid w:val="71804348"/>
    <w:rsid w:val="71A51D3E"/>
    <w:rsid w:val="71BE13CC"/>
    <w:rsid w:val="71BE5A48"/>
    <w:rsid w:val="71D021AB"/>
    <w:rsid w:val="71D22AFE"/>
    <w:rsid w:val="72347923"/>
    <w:rsid w:val="727D5B75"/>
    <w:rsid w:val="72C52DEA"/>
    <w:rsid w:val="72E8736B"/>
    <w:rsid w:val="73AB33F6"/>
    <w:rsid w:val="748C5D8E"/>
    <w:rsid w:val="748E293B"/>
    <w:rsid w:val="749B3FDB"/>
    <w:rsid w:val="74E744BD"/>
    <w:rsid w:val="75257550"/>
    <w:rsid w:val="75644D97"/>
    <w:rsid w:val="759B1E22"/>
    <w:rsid w:val="75C05756"/>
    <w:rsid w:val="75D42E7E"/>
    <w:rsid w:val="75E56B16"/>
    <w:rsid w:val="75F02DC3"/>
    <w:rsid w:val="76015A48"/>
    <w:rsid w:val="76282D07"/>
    <w:rsid w:val="764441BD"/>
    <w:rsid w:val="76524C7C"/>
    <w:rsid w:val="765504DB"/>
    <w:rsid w:val="77196278"/>
    <w:rsid w:val="774C5C4C"/>
    <w:rsid w:val="77545A2C"/>
    <w:rsid w:val="776A6262"/>
    <w:rsid w:val="777B2708"/>
    <w:rsid w:val="779B0E9A"/>
    <w:rsid w:val="77C63431"/>
    <w:rsid w:val="77CC6546"/>
    <w:rsid w:val="782345A1"/>
    <w:rsid w:val="78774EB3"/>
    <w:rsid w:val="78821E60"/>
    <w:rsid w:val="78DB7949"/>
    <w:rsid w:val="796D6632"/>
    <w:rsid w:val="79821438"/>
    <w:rsid w:val="79AB210D"/>
    <w:rsid w:val="79B97F53"/>
    <w:rsid w:val="79BC31FA"/>
    <w:rsid w:val="79D87A68"/>
    <w:rsid w:val="7A17074E"/>
    <w:rsid w:val="7A3D6C4B"/>
    <w:rsid w:val="7A4F0B42"/>
    <w:rsid w:val="7A8F2723"/>
    <w:rsid w:val="7AB47294"/>
    <w:rsid w:val="7B422CAE"/>
    <w:rsid w:val="7B644A2A"/>
    <w:rsid w:val="7B770222"/>
    <w:rsid w:val="7BF34571"/>
    <w:rsid w:val="7BF816A3"/>
    <w:rsid w:val="7BF85A00"/>
    <w:rsid w:val="7C211F14"/>
    <w:rsid w:val="7C345062"/>
    <w:rsid w:val="7C3E231E"/>
    <w:rsid w:val="7C773241"/>
    <w:rsid w:val="7CA971CE"/>
    <w:rsid w:val="7CF21356"/>
    <w:rsid w:val="7D837B90"/>
    <w:rsid w:val="7DC62EB9"/>
    <w:rsid w:val="7E165291"/>
    <w:rsid w:val="7E1D143E"/>
    <w:rsid w:val="7EA2055B"/>
    <w:rsid w:val="7ECE59AB"/>
    <w:rsid w:val="7F525DD1"/>
    <w:rsid w:val="7F87018E"/>
    <w:rsid w:val="7FA74C3E"/>
    <w:rsid w:val="7FAB68B3"/>
    <w:rsid w:val="7FCE2A54"/>
    <w:rsid w:val="7FD33E36"/>
    <w:rsid w:val="7FD50BD5"/>
    <w:rsid w:val="7FD87E8E"/>
    <w:rsid w:val="7FE6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ascii="宋体" w:hAnsi="Courier New"/>
      <w:b/>
      <w:kern w:val="44"/>
      <w:sz w:val="44"/>
    </w:rPr>
  </w:style>
  <w:style w:type="paragraph" w:styleId="4">
    <w:name w:val="heading 2"/>
    <w:basedOn w:val="1"/>
    <w:next w:val="1"/>
    <w:qFormat/>
    <w:uiPriority w:val="0"/>
    <w:pPr>
      <w:keepNext/>
      <w:jc w:val="center"/>
      <w:outlineLvl w:val="1"/>
    </w:pPr>
    <w:rPr>
      <w:rFonts w:ascii="黑体" w:eastAsia="黑体"/>
      <w:b/>
      <w:color w:val="000000"/>
      <w:sz w:val="24"/>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tabs>
        <w:tab w:val="left" w:pos="864"/>
      </w:tabs>
      <w:adjustRightInd w:val="0"/>
      <w:spacing w:before="280" w:after="290" w:line="376" w:lineRule="atLeast"/>
      <w:ind w:left="864" w:hanging="864"/>
      <w:textAlignment w:val="baseline"/>
      <w:outlineLvl w:val="3"/>
    </w:pPr>
    <w:rPr>
      <w:rFonts w:ascii="Arial" w:hAnsi="Arial" w:eastAsia="黑体"/>
      <w:b/>
      <w:kern w:val="0"/>
      <w:sz w:val="28"/>
    </w:rPr>
  </w:style>
  <w:style w:type="paragraph" w:styleId="7">
    <w:name w:val="heading 5"/>
    <w:basedOn w:val="1"/>
    <w:next w:val="1"/>
    <w:qFormat/>
    <w:uiPriority w:val="0"/>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8">
    <w:name w:val="heading 6"/>
    <w:basedOn w:val="1"/>
    <w:next w:val="1"/>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kern w:val="0"/>
      <w:sz w:val="24"/>
    </w:rPr>
  </w:style>
  <w:style w:type="paragraph" w:styleId="9">
    <w:name w:val="heading 7"/>
    <w:basedOn w:val="1"/>
    <w:next w:val="1"/>
    <w:qFormat/>
    <w:uiPriority w:val="0"/>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10">
    <w:name w:val="heading 8"/>
    <w:basedOn w:val="1"/>
    <w:next w:val="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 w:val="24"/>
    </w:rPr>
  </w:style>
  <w:style w:type="paragraph" w:styleId="11">
    <w:name w:val="heading 9"/>
    <w:basedOn w:val="1"/>
    <w:next w:val="1"/>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4"/>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5"/>
    <w:qFormat/>
    <w:uiPriority w:val="0"/>
    <w:pPr>
      <w:spacing w:after="120"/>
    </w:p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adjustRightInd w:val="0"/>
      <w:spacing w:line="360" w:lineRule="auto"/>
      <w:ind w:left="1440" w:firstLine="425"/>
      <w:jc w:val="left"/>
      <w:textAlignment w:val="baseline"/>
    </w:pPr>
    <w:rPr>
      <w:sz w:val="18"/>
    </w:rPr>
  </w:style>
  <w:style w:type="paragraph" w:styleId="14">
    <w:name w:val="index 8"/>
    <w:basedOn w:val="1"/>
    <w:next w:val="1"/>
    <w:qFormat/>
    <w:uiPriority w:val="0"/>
    <w:pPr>
      <w:adjustRightInd w:val="0"/>
      <w:spacing w:line="360" w:lineRule="auto"/>
      <w:ind w:left="1920" w:hanging="240"/>
      <w:jc w:val="left"/>
      <w:textAlignment w:val="baseline"/>
    </w:pPr>
    <w:rPr>
      <w:sz w:val="20"/>
    </w:rPr>
  </w:style>
  <w:style w:type="paragraph" w:styleId="15">
    <w:name w:val="List Number"/>
    <w:basedOn w:val="1"/>
    <w:qFormat/>
    <w:uiPriority w:val="0"/>
    <w:pPr>
      <w:tabs>
        <w:tab w:val="left" w:pos="720"/>
      </w:tabs>
      <w:snapToGrid w:val="0"/>
      <w:spacing w:after="60" w:line="300" w:lineRule="auto"/>
      <w:ind w:left="720" w:hanging="720"/>
    </w:pPr>
    <w:rPr>
      <w:sz w:val="24"/>
    </w:r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Arial" w:hAnsi="Arial" w:eastAsia="黑体"/>
      <w:sz w:val="20"/>
    </w:rPr>
  </w:style>
  <w:style w:type="paragraph" w:styleId="18">
    <w:name w:val="index 5"/>
    <w:basedOn w:val="1"/>
    <w:next w:val="1"/>
    <w:qFormat/>
    <w:uiPriority w:val="0"/>
    <w:pPr>
      <w:adjustRightInd w:val="0"/>
      <w:spacing w:line="360" w:lineRule="auto"/>
      <w:ind w:left="1200" w:hanging="240"/>
      <w:jc w:val="left"/>
      <w:textAlignment w:val="baseline"/>
    </w:pPr>
    <w:rPr>
      <w:sz w:val="20"/>
    </w:rPr>
  </w:style>
  <w:style w:type="paragraph" w:styleId="19">
    <w:name w:val="List Bullet"/>
    <w:basedOn w:val="1"/>
    <w:qFormat/>
    <w:uiPriority w:val="0"/>
    <w:pPr>
      <w:tabs>
        <w:tab w:val="left" w:pos="360"/>
      </w:tabs>
      <w:ind w:left="360" w:hanging="360"/>
    </w:pPr>
  </w:style>
  <w:style w:type="paragraph" w:styleId="20">
    <w:name w:val="Document Map"/>
    <w:basedOn w:val="1"/>
    <w:semiHidden/>
    <w:qFormat/>
    <w:uiPriority w:val="0"/>
    <w:pPr>
      <w:shd w:val="clear" w:color="auto" w:fill="000080"/>
    </w:pPr>
  </w:style>
  <w:style w:type="paragraph" w:styleId="21">
    <w:name w:val="annotation text"/>
    <w:basedOn w:val="1"/>
    <w:qFormat/>
    <w:uiPriority w:val="0"/>
    <w:pPr>
      <w:adjustRightInd w:val="0"/>
      <w:spacing w:line="360" w:lineRule="atLeast"/>
      <w:jc w:val="left"/>
      <w:textAlignment w:val="baseline"/>
    </w:pPr>
    <w:rPr>
      <w:rFonts w:ascii="GothicE"/>
      <w:snapToGrid w:val="0"/>
      <w:kern w:val="0"/>
      <w:sz w:val="24"/>
    </w:rPr>
  </w:style>
  <w:style w:type="paragraph" w:styleId="22">
    <w:name w:val="index 6"/>
    <w:basedOn w:val="1"/>
    <w:next w:val="1"/>
    <w:qFormat/>
    <w:uiPriority w:val="0"/>
    <w:pPr>
      <w:adjustRightInd w:val="0"/>
      <w:spacing w:line="360" w:lineRule="auto"/>
      <w:ind w:left="1440" w:hanging="240"/>
      <w:jc w:val="left"/>
      <w:textAlignment w:val="baseline"/>
    </w:pPr>
    <w:rPr>
      <w:sz w:val="20"/>
    </w:rPr>
  </w:style>
  <w:style w:type="paragraph" w:styleId="23">
    <w:name w:val="Body Text 3"/>
    <w:basedOn w:val="1"/>
    <w:qFormat/>
    <w:uiPriority w:val="0"/>
    <w:pPr>
      <w:spacing w:after="120"/>
    </w:pPr>
    <w:rPr>
      <w:sz w:val="16"/>
    </w:rPr>
  </w:style>
  <w:style w:type="paragraph" w:styleId="24">
    <w:name w:val="Body Text Indent"/>
    <w:basedOn w:val="1"/>
    <w:qFormat/>
    <w:uiPriority w:val="0"/>
    <w:pPr>
      <w:spacing w:line="540" w:lineRule="exact"/>
      <w:ind w:firstLine="480" w:firstLineChars="200"/>
    </w:pPr>
    <w:rPr>
      <w:sz w:val="24"/>
    </w:rPr>
  </w:style>
  <w:style w:type="paragraph" w:styleId="25">
    <w:name w:val="List 2"/>
    <w:basedOn w:val="1"/>
    <w:qFormat/>
    <w:uiPriority w:val="0"/>
    <w:pPr>
      <w:ind w:left="100" w:leftChars="200" w:hanging="200" w:hangingChars="200"/>
    </w:pPr>
  </w:style>
  <w:style w:type="paragraph" w:styleId="26">
    <w:name w:val="index 4"/>
    <w:basedOn w:val="1"/>
    <w:next w:val="1"/>
    <w:qFormat/>
    <w:uiPriority w:val="0"/>
    <w:pPr>
      <w:adjustRightInd w:val="0"/>
      <w:spacing w:line="360" w:lineRule="auto"/>
      <w:ind w:left="960" w:hanging="240"/>
      <w:jc w:val="left"/>
      <w:textAlignment w:val="baseline"/>
    </w:pPr>
    <w:rPr>
      <w:sz w:val="20"/>
    </w:rPr>
  </w:style>
  <w:style w:type="paragraph" w:styleId="27">
    <w:name w:val="toc 5"/>
    <w:basedOn w:val="1"/>
    <w:next w:val="1"/>
    <w:qFormat/>
    <w:uiPriority w:val="0"/>
    <w:pPr>
      <w:adjustRightInd w:val="0"/>
      <w:spacing w:line="360" w:lineRule="auto"/>
      <w:ind w:left="960" w:firstLine="425"/>
      <w:jc w:val="left"/>
      <w:textAlignment w:val="baseline"/>
    </w:pPr>
    <w:rPr>
      <w:sz w:val="18"/>
    </w:rPr>
  </w:style>
  <w:style w:type="paragraph" w:styleId="28">
    <w:name w:val="toc 3"/>
    <w:basedOn w:val="1"/>
    <w:next w:val="1"/>
    <w:qFormat/>
    <w:uiPriority w:val="0"/>
    <w:pPr>
      <w:adjustRightInd w:val="0"/>
      <w:spacing w:line="360" w:lineRule="auto"/>
      <w:ind w:left="480" w:firstLine="425"/>
      <w:jc w:val="left"/>
      <w:textAlignment w:val="baseline"/>
    </w:pPr>
    <w:rPr>
      <w:i/>
      <w:sz w:val="20"/>
    </w:rPr>
  </w:style>
  <w:style w:type="paragraph" w:styleId="29">
    <w:name w:val="Plain Text"/>
    <w:basedOn w:val="1"/>
    <w:link w:val="117"/>
    <w:qFormat/>
    <w:uiPriority w:val="0"/>
    <w:pPr>
      <w:widowControl/>
      <w:spacing w:before="120" w:after="120" w:line="240" w:lineRule="atLeast"/>
    </w:pPr>
    <w:rPr>
      <w:rFonts w:ascii="宋体" w:hAnsi="Courier New"/>
      <w:sz w:val="28"/>
    </w:rPr>
  </w:style>
  <w:style w:type="paragraph" w:styleId="30">
    <w:name w:val="toc 8"/>
    <w:basedOn w:val="1"/>
    <w:next w:val="1"/>
    <w:qFormat/>
    <w:uiPriority w:val="0"/>
    <w:pPr>
      <w:adjustRightInd w:val="0"/>
      <w:spacing w:line="360" w:lineRule="auto"/>
      <w:ind w:left="1680" w:firstLine="425"/>
      <w:jc w:val="left"/>
      <w:textAlignment w:val="baseline"/>
    </w:pPr>
    <w:rPr>
      <w:sz w:val="18"/>
    </w:rPr>
  </w:style>
  <w:style w:type="paragraph" w:styleId="31">
    <w:name w:val="index 3"/>
    <w:basedOn w:val="1"/>
    <w:next w:val="1"/>
    <w:qFormat/>
    <w:uiPriority w:val="0"/>
    <w:pPr>
      <w:adjustRightInd w:val="0"/>
      <w:spacing w:line="360" w:lineRule="auto"/>
      <w:ind w:left="720" w:hanging="240"/>
      <w:jc w:val="left"/>
      <w:textAlignment w:val="baseline"/>
    </w:pPr>
    <w:rPr>
      <w:sz w:val="20"/>
    </w:rPr>
  </w:style>
  <w:style w:type="paragraph" w:styleId="32">
    <w:name w:val="Date"/>
    <w:basedOn w:val="1"/>
    <w:next w:val="1"/>
    <w:qFormat/>
    <w:uiPriority w:val="0"/>
    <w:pPr>
      <w:ind w:left="100" w:leftChars="2500"/>
    </w:pPr>
  </w:style>
  <w:style w:type="paragraph" w:styleId="33">
    <w:name w:val="Body Text Indent 2"/>
    <w:basedOn w:val="1"/>
    <w:qFormat/>
    <w:uiPriority w:val="0"/>
    <w:pPr>
      <w:spacing w:after="120" w:line="480" w:lineRule="auto"/>
      <w:ind w:left="420" w:leftChars="20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adjustRightInd w:val="0"/>
      <w:spacing w:before="120" w:after="120" w:line="360" w:lineRule="auto"/>
      <w:ind w:firstLine="425"/>
      <w:jc w:val="left"/>
      <w:textAlignment w:val="baseline"/>
    </w:pPr>
    <w:rPr>
      <w:b/>
      <w:caps/>
      <w:sz w:val="20"/>
    </w:rPr>
  </w:style>
  <w:style w:type="paragraph" w:styleId="38">
    <w:name w:val="toc 4"/>
    <w:basedOn w:val="1"/>
    <w:next w:val="1"/>
    <w:qFormat/>
    <w:uiPriority w:val="0"/>
    <w:pPr>
      <w:adjustRightInd w:val="0"/>
      <w:spacing w:line="360" w:lineRule="auto"/>
      <w:ind w:left="720" w:firstLine="425"/>
      <w:jc w:val="left"/>
      <w:textAlignment w:val="baseline"/>
    </w:pPr>
    <w:rPr>
      <w:sz w:val="18"/>
    </w:rPr>
  </w:style>
  <w:style w:type="paragraph" w:styleId="39">
    <w:name w:val="index heading"/>
    <w:basedOn w:val="1"/>
    <w:next w:val="40"/>
    <w:qFormat/>
    <w:uiPriority w:val="0"/>
    <w:pPr>
      <w:adjustRightInd w:val="0"/>
      <w:spacing w:before="120" w:after="120" w:line="360" w:lineRule="auto"/>
      <w:ind w:firstLine="425"/>
      <w:jc w:val="left"/>
      <w:textAlignment w:val="baseline"/>
    </w:pPr>
    <w:rPr>
      <w:b/>
      <w:i/>
      <w:sz w:val="20"/>
    </w:rPr>
  </w:style>
  <w:style w:type="paragraph" w:styleId="40">
    <w:name w:val="index 1"/>
    <w:basedOn w:val="1"/>
    <w:next w:val="1"/>
    <w:qFormat/>
    <w:uiPriority w:val="0"/>
    <w:pPr>
      <w:adjustRightInd w:val="0"/>
      <w:spacing w:line="360" w:lineRule="auto"/>
      <w:ind w:left="240" w:hanging="240"/>
      <w:jc w:val="left"/>
      <w:textAlignment w:val="baseline"/>
    </w:pPr>
    <w:rPr>
      <w:sz w:val="20"/>
    </w:rPr>
  </w:style>
  <w:style w:type="paragraph" w:styleId="41">
    <w:name w:val="footnote text"/>
    <w:basedOn w:val="1"/>
    <w:qFormat/>
    <w:uiPriority w:val="0"/>
    <w:pPr>
      <w:adjustRightInd w:val="0"/>
      <w:spacing w:line="315" w:lineRule="atLeast"/>
      <w:textAlignment w:val="baseline"/>
    </w:pPr>
    <w:rPr>
      <w:rFonts w:ascii="宋体"/>
      <w:kern w:val="0"/>
      <w:sz w:val="24"/>
    </w:rPr>
  </w:style>
  <w:style w:type="paragraph" w:styleId="42">
    <w:name w:val="toc 6"/>
    <w:basedOn w:val="1"/>
    <w:next w:val="1"/>
    <w:qFormat/>
    <w:uiPriority w:val="0"/>
    <w:pPr>
      <w:adjustRightInd w:val="0"/>
      <w:spacing w:line="360" w:lineRule="auto"/>
      <w:ind w:left="1200" w:firstLine="425"/>
      <w:jc w:val="left"/>
      <w:textAlignment w:val="baseline"/>
    </w:pPr>
    <w:rPr>
      <w:sz w:val="18"/>
    </w:rPr>
  </w:style>
  <w:style w:type="paragraph" w:styleId="43">
    <w:name w:val="Body Text Indent 3"/>
    <w:basedOn w:val="1"/>
    <w:qFormat/>
    <w:uiPriority w:val="0"/>
    <w:pPr>
      <w:spacing w:after="120"/>
      <w:ind w:left="420" w:leftChars="200"/>
    </w:pPr>
    <w:rPr>
      <w:sz w:val="16"/>
    </w:rPr>
  </w:style>
  <w:style w:type="paragraph" w:styleId="44">
    <w:name w:val="index 7"/>
    <w:basedOn w:val="1"/>
    <w:next w:val="1"/>
    <w:qFormat/>
    <w:uiPriority w:val="0"/>
    <w:pPr>
      <w:adjustRightInd w:val="0"/>
      <w:spacing w:line="360" w:lineRule="auto"/>
      <w:ind w:left="1680" w:hanging="240"/>
      <w:jc w:val="left"/>
      <w:textAlignment w:val="baseline"/>
    </w:pPr>
    <w:rPr>
      <w:sz w:val="20"/>
    </w:rPr>
  </w:style>
  <w:style w:type="paragraph" w:styleId="45">
    <w:name w:val="index 9"/>
    <w:basedOn w:val="1"/>
    <w:next w:val="1"/>
    <w:qFormat/>
    <w:uiPriority w:val="0"/>
    <w:pPr>
      <w:adjustRightInd w:val="0"/>
      <w:spacing w:line="360" w:lineRule="auto"/>
      <w:ind w:left="2160" w:hanging="240"/>
      <w:jc w:val="left"/>
      <w:textAlignment w:val="baseline"/>
    </w:pPr>
    <w:rPr>
      <w:sz w:val="20"/>
    </w:rPr>
  </w:style>
  <w:style w:type="paragraph" w:styleId="46">
    <w:name w:val="table of figures"/>
    <w:basedOn w:val="1"/>
    <w:next w:val="1"/>
    <w:qFormat/>
    <w:uiPriority w:val="0"/>
    <w:pPr>
      <w:adjustRightInd w:val="0"/>
      <w:spacing w:line="360" w:lineRule="auto"/>
      <w:ind w:left="480" w:hanging="480"/>
      <w:jc w:val="left"/>
      <w:textAlignment w:val="baseline"/>
    </w:pPr>
    <w:rPr>
      <w:smallCaps/>
      <w:sz w:val="20"/>
    </w:rPr>
  </w:style>
  <w:style w:type="paragraph" w:styleId="47">
    <w:name w:val="toc 2"/>
    <w:basedOn w:val="1"/>
    <w:next w:val="1"/>
    <w:qFormat/>
    <w:uiPriority w:val="0"/>
    <w:pPr>
      <w:adjustRightInd w:val="0"/>
      <w:spacing w:line="360" w:lineRule="auto"/>
      <w:ind w:left="240" w:firstLine="425"/>
      <w:jc w:val="left"/>
      <w:textAlignment w:val="baseline"/>
    </w:pPr>
    <w:rPr>
      <w:smallCaps/>
      <w:sz w:val="20"/>
    </w:rPr>
  </w:style>
  <w:style w:type="paragraph" w:styleId="48">
    <w:name w:val="toc 9"/>
    <w:basedOn w:val="1"/>
    <w:next w:val="1"/>
    <w:qFormat/>
    <w:uiPriority w:val="0"/>
    <w:pPr>
      <w:adjustRightInd w:val="0"/>
      <w:spacing w:line="360" w:lineRule="auto"/>
      <w:ind w:left="1920" w:firstLine="425"/>
      <w:jc w:val="left"/>
      <w:textAlignment w:val="baseline"/>
    </w:pPr>
    <w:rPr>
      <w:sz w:val="18"/>
    </w:rPr>
  </w:style>
  <w:style w:type="paragraph" w:styleId="49">
    <w:name w:val="Body Text 2"/>
    <w:basedOn w:val="1"/>
    <w:qFormat/>
    <w:uiPriority w:val="0"/>
    <w:pPr>
      <w:spacing w:after="120" w:line="480" w:lineRule="auto"/>
    </w:pPr>
  </w:style>
  <w:style w:type="paragraph" w:styleId="50">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1">
    <w:name w:val="index 2"/>
    <w:basedOn w:val="1"/>
    <w:next w:val="1"/>
    <w:qFormat/>
    <w:uiPriority w:val="0"/>
    <w:pPr>
      <w:adjustRightInd w:val="0"/>
      <w:spacing w:line="360" w:lineRule="auto"/>
      <w:ind w:left="480" w:hanging="240"/>
      <w:jc w:val="left"/>
      <w:textAlignment w:val="baseline"/>
    </w:pPr>
    <w:rPr>
      <w:sz w:val="20"/>
    </w:rPr>
  </w:style>
  <w:style w:type="paragraph" w:styleId="52">
    <w:name w:val="Title"/>
    <w:basedOn w:val="1"/>
    <w:next w:val="1"/>
    <w:link w:val="110"/>
    <w:qFormat/>
    <w:uiPriority w:val="0"/>
    <w:pPr>
      <w:spacing w:before="240" w:after="60"/>
      <w:jc w:val="center"/>
      <w:outlineLvl w:val="0"/>
    </w:pPr>
    <w:rPr>
      <w:rFonts w:ascii="Cambria" w:hAnsi="Cambria"/>
      <w:b/>
      <w:bCs/>
      <w:sz w:val="32"/>
      <w:szCs w:val="32"/>
    </w:rPr>
  </w:style>
  <w:style w:type="paragraph" w:styleId="53">
    <w:name w:val="annotation subject"/>
    <w:basedOn w:val="21"/>
    <w:next w:val="21"/>
    <w:semiHidden/>
    <w:qFormat/>
    <w:uiPriority w:val="0"/>
    <w:pPr>
      <w:adjustRightInd/>
      <w:spacing w:line="240" w:lineRule="auto"/>
      <w:textAlignment w:val="auto"/>
    </w:pPr>
    <w:rPr>
      <w:rFonts w:ascii="Times New Roman"/>
      <w:b/>
      <w:bCs/>
      <w:snapToGrid/>
      <w:kern w:val="2"/>
      <w:sz w:val="21"/>
    </w:rPr>
  </w:style>
  <w:style w:type="paragraph" w:styleId="54">
    <w:name w:val="Body Text First Indent"/>
    <w:basedOn w:val="2"/>
    <w:qFormat/>
    <w:uiPriority w:val="0"/>
    <w:pPr>
      <w:ind w:firstLine="420" w:firstLineChars="100"/>
    </w:pPr>
  </w:style>
  <w:style w:type="paragraph" w:styleId="55">
    <w:name w:val="Body Text First Indent 2"/>
    <w:basedOn w:val="24"/>
    <w:qFormat/>
    <w:uiPriority w:val="0"/>
    <w:pPr>
      <w:spacing w:after="120" w:line="240" w:lineRule="auto"/>
      <w:ind w:left="420" w:leftChars="200" w:firstLine="420"/>
    </w:pPr>
    <w:rPr>
      <w:sz w:val="21"/>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0"/>
    <w:rPr>
      <w:b/>
    </w:rPr>
  </w:style>
  <w:style w:type="character" w:styleId="60">
    <w:name w:val="page number"/>
    <w:basedOn w:val="58"/>
    <w:qFormat/>
    <w:uiPriority w:val="0"/>
  </w:style>
  <w:style w:type="character" w:styleId="61">
    <w:name w:val="FollowedHyperlink"/>
    <w:qFormat/>
    <w:uiPriority w:val="0"/>
    <w:rPr>
      <w:color w:val="333333"/>
      <w:u w:val="none"/>
    </w:rPr>
  </w:style>
  <w:style w:type="character" w:styleId="62">
    <w:name w:val="Emphasis"/>
    <w:basedOn w:val="58"/>
    <w:qFormat/>
    <w:uiPriority w:val="0"/>
  </w:style>
  <w:style w:type="character" w:styleId="63">
    <w:name w:val="Hyperlink"/>
    <w:qFormat/>
    <w:uiPriority w:val="0"/>
    <w:rPr>
      <w:color w:val="333333"/>
      <w:u w:val="none"/>
    </w:rPr>
  </w:style>
  <w:style w:type="character" w:styleId="64">
    <w:name w:val="annotation reference"/>
    <w:semiHidden/>
    <w:qFormat/>
    <w:uiPriority w:val="0"/>
    <w:rPr>
      <w:sz w:val="21"/>
      <w:szCs w:val="21"/>
    </w:rPr>
  </w:style>
  <w:style w:type="paragraph" w:customStyle="1" w:styleId="65">
    <w:name w:val="列出段落1"/>
    <w:basedOn w:val="1"/>
    <w:unhideWhenUsed/>
    <w:qFormat/>
    <w:uiPriority w:val="99"/>
    <w:pPr>
      <w:ind w:firstLine="420" w:firstLineChars="200"/>
    </w:pPr>
  </w:style>
  <w:style w:type="paragraph" w:customStyle="1" w:styleId="6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67">
    <w:name w:val="标准正文"/>
    <w:basedOn w:val="1"/>
    <w:qFormat/>
    <w:uiPriority w:val="0"/>
    <w:pPr>
      <w:adjustRightInd w:val="0"/>
      <w:spacing w:line="360" w:lineRule="auto"/>
      <w:jc w:val="center"/>
      <w:textAlignment w:val="baseline"/>
    </w:pPr>
    <w:rPr>
      <w:kern w:val="0"/>
      <w:sz w:val="24"/>
    </w:rPr>
  </w:style>
  <w:style w:type="paragraph" w:customStyle="1" w:styleId="68">
    <w:name w:val="样式1"/>
    <w:basedOn w:val="1"/>
    <w:qFormat/>
    <w:uiPriority w:val="0"/>
    <w:pPr>
      <w:adjustRightInd w:val="0"/>
      <w:spacing w:line="490" w:lineRule="exact"/>
      <w:ind w:firstLine="556"/>
      <w:textAlignment w:val="baseline"/>
    </w:pPr>
    <w:rPr>
      <w:rFonts w:ascii="宋体" w:eastAsia="仿宋_GB2312"/>
      <w:kern w:val="0"/>
      <w:sz w:val="28"/>
    </w:rPr>
  </w:style>
  <w:style w:type="paragraph" w:customStyle="1" w:styleId="69">
    <w:name w:val="列出段落111"/>
    <w:basedOn w:val="1"/>
    <w:link w:val="114"/>
    <w:qFormat/>
    <w:uiPriority w:val="0"/>
    <w:pPr>
      <w:ind w:firstLine="420" w:firstLineChars="200"/>
    </w:pPr>
    <w:rPr>
      <w:szCs w:val="24"/>
    </w:rPr>
  </w:style>
  <w:style w:type="paragraph" w:customStyle="1" w:styleId="70">
    <w:name w:val="Char Char Char Char"/>
    <w:basedOn w:val="1"/>
    <w:qFormat/>
    <w:uiPriority w:val="0"/>
    <w:pPr>
      <w:widowControl/>
      <w:spacing w:after="160" w:line="240" w:lineRule="exact"/>
      <w:jc w:val="left"/>
    </w:pPr>
  </w:style>
  <w:style w:type="paragraph" w:customStyle="1" w:styleId="71">
    <w:name w:val="默认段落字体 Para Char Char Char Char"/>
    <w:basedOn w:val="1"/>
    <w:qFormat/>
    <w:uiPriority w:val="0"/>
  </w:style>
  <w:style w:type="paragraph" w:customStyle="1" w:styleId="72">
    <w:name w:val="标题 4（绿盟科技）"/>
    <w:basedOn w:val="6"/>
    <w:next w:val="1"/>
    <w:qFormat/>
    <w:uiPriority w:val="0"/>
    <w:pPr>
      <w:widowControl/>
      <w:tabs>
        <w:tab w:val="left" w:pos="360"/>
        <w:tab w:val="clear" w:pos="864"/>
      </w:tabs>
      <w:adjustRightInd/>
      <w:spacing w:after="156" w:line="376" w:lineRule="auto"/>
      <w:ind w:left="0" w:firstLine="0"/>
      <w:jc w:val="left"/>
      <w:textAlignment w:val="auto"/>
    </w:pPr>
    <w:rPr>
      <w:szCs w:val="28"/>
    </w:rPr>
  </w:style>
  <w:style w:type="paragraph" w:customStyle="1" w:styleId="73">
    <w:name w:val="列出段落11"/>
    <w:basedOn w:val="1"/>
    <w:qFormat/>
    <w:uiPriority w:val="0"/>
    <w:pPr>
      <w:ind w:firstLine="420" w:firstLineChars="200"/>
    </w:pPr>
    <w:rPr>
      <w:rFonts w:ascii="Calibri" w:hAnsi="Calibri"/>
      <w:szCs w:val="24"/>
    </w:rPr>
  </w:style>
  <w:style w:type="paragraph" w:customStyle="1" w:styleId="74">
    <w:name w:val="样式2"/>
    <w:basedOn w:val="1"/>
    <w:qFormat/>
    <w:uiPriority w:val="0"/>
  </w:style>
  <w:style w:type="paragraph" w:customStyle="1" w:styleId="75">
    <w:name w:val="标准段落正文"/>
    <w:basedOn w:val="1"/>
    <w:qFormat/>
    <w:uiPriority w:val="0"/>
    <w:pPr>
      <w:spacing w:line="312" w:lineRule="auto"/>
      <w:ind w:firstLine="480"/>
    </w:pPr>
    <w:rPr>
      <w:sz w:val="24"/>
    </w:rPr>
  </w:style>
  <w:style w:type="paragraph" w:customStyle="1" w:styleId="76">
    <w:name w:val="标题 1（绿盟科技）"/>
    <w:basedOn w:val="3"/>
    <w:qFormat/>
    <w:uiPriority w:val="0"/>
    <w:pPr>
      <w:pBdr>
        <w:bottom w:val="single" w:color="auto" w:sz="48" w:space="1"/>
      </w:pBdr>
      <w:tabs>
        <w:tab w:val="left" w:pos="360"/>
      </w:tabs>
      <w:spacing w:before="600"/>
      <w:jc w:val="left"/>
    </w:pPr>
    <w:rPr>
      <w:rFonts w:ascii="Arial" w:hAnsi="Arial" w:eastAsia="黑体"/>
      <w:bCs/>
      <w:szCs w:val="44"/>
    </w:rPr>
  </w:style>
  <w:style w:type="paragraph" w:customStyle="1" w:styleId="77">
    <w:name w:val="Char1"/>
    <w:basedOn w:val="1"/>
    <w:qFormat/>
    <w:uiPriority w:val="0"/>
  </w:style>
  <w:style w:type="paragraph" w:customStyle="1" w:styleId="78">
    <w:name w:val="正文1"/>
    <w:basedOn w:val="1"/>
    <w:qFormat/>
    <w:uiPriority w:val="0"/>
    <w:pPr>
      <w:adjustRightInd w:val="0"/>
      <w:spacing w:line="360" w:lineRule="atLeast"/>
      <w:jc w:val="left"/>
      <w:textAlignment w:val="baseline"/>
    </w:pPr>
    <w:rPr>
      <w:rFonts w:ascii="宋体"/>
      <w:kern w:val="0"/>
      <w:sz w:val="24"/>
    </w:rPr>
  </w:style>
  <w:style w:type="paragraph" w:customStyle="1" w:styleId="79">
    <w:name w:val="标题 6（有编号）（绿盟科技）"/>
    <w:basedOn w:val="1"/>
    <w:next w:val="1"/>
    <w:qFormat/>
    <w:uiPriority w:val="0"/>
    <w:pPr>
      <w:keepNext/>
      <w:keepLines/>
      <w:spacing w:before="240" w:after="64" w:line="319" w:lineRule="auto"/>
      <w:ind w:left="1247" w:hanging="1247"/>
      <w:jc w:val="left"/>
      <w:outlineLvl w:val="5"/>
    </w:pPr>
    <w:rPr>
      <w:rFonts w:ascii="Arial" w:hAnsi="Arial" w:eastAsia="黑体"/>
      <w:b/>
      <w:kern w:val="0"/>
      <w:szCs w:val="24"/>
    </w:rPr>
  </w:style>
  <w:style w:type="paragraph" w:customStyle="1" w:styleId="80">
    <w:name w:val="样式 小四 段前: 5 磅 段后: 5 磅 首行缩进:  2 字符"/>
    <w:basedOn w:val="1"/>
    <w:qFormat/>
    <w:uiPriority w:val="0"/>
    <w:pPr>
      <w:tabs>
        <w:tab w:val="left" w:pos="0"/>
        <w:tab w:val="left" w:pos="1560"/>
      </w:tabs>
      <w:spacing w:beforeLines="30" w:afterLines="30"/>
      <w:jc w:val="center"/>
    </w:pPr>
    <w:rPr>
      <w:rFonts w:ascii="仿宋_GB2312" w:hAnsi="宋体" w:eastAsia="仿宋_GB2312"/>
      <w:color w:val="000000"/>
      <w:sz w:val="32"/>
    </w:rPr>
  </w:style>
  <w:style w:type="paragraph" w:customStyle="1" w:styleId="81">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2">
    <w:name w:val="*正文"/>
    <w:basedOn w:val="1"/>
    <w:qFormat/>
    <w:uiPriority w:val="0"/>
    <w:pPr>
      <w:spacing w:line="480" w:lineRule="exact"/>
      <w:ind w:firstLine="200" w:firstLineChars="200"/>
    </w:pPr>
    <w:rPr>
      <w:rFonts w:ascii="宋体" w:hAnsi="宋体"/>
      <w:kern w:val="0"/>
      <w:sz w:val="24"/>
      <w:szCs w:val="24"/>
      <w:lang w:val="zh-CN"/>
    </w:rPr>
  </w:style>
  <w:style w:type="paragraph" w:customStyle="1" w:styleId="83">
    <w:name w:val="Technical 4"/>
    <w:qFormat/>
    <w:uiPriority w:val="0"/>
    <w:pPr>
      <w:widowControl w:val="0"/>
      <w:tabs>
        <w:tab w:val="left" w:pos="-720"/>
      </w:tabs>
    </w:pPr>
    <w:rPr>
      <w:rFonts w:ascii="Arial" w:hAnsi="Arial" w:eastAsia="宋体" w:cs="Times New Roman"/>
      <w:b/>
      <w:sz w:val="24"/>
      <w:lang w:val="en-US" w:eastAsia="zh-CN" w:bidi="ar-SA"/>
    </w:rPr>
  </w:style>
  <w:style w:type="paragraph" w:customStyle="1" w:styleId="84">
    <w:name w:val="标题 2（绿盟科技）"/>
    <w:basedOn w:val="4"/>
    <w:next w:val="1"/>
    <w:qFormat/>
    <w:uiPriority w:val="0"/>
    <w:pPr>
      <w:keepLines/>
      <w:tabs>
        <w:tab w:val="left" w:pos="360"/>
      </w:tabs>
      <w:spacing w:before="260" w:after="260" w:line="415" w:lineRule="auto"/>
      <w:jc w:val="left"/>
    </w:pPr>
    <w:rPr>
      <w:rFonts w:ascii="Arial" w:hAnsi="Arial"/>
      <w:color w:val="auto"/>
      <w:sz w:val="32"/>
      <w:szCs w:val="32"/>
    </w:rPr>
  </w:style>
  <w:style w:type="paragraph" w:customStyle="1" w:styleId="85">
    <w:name w:val="Char11"/>
    <w:basedOn w:val="1"/>
    <w:qFormat/>
    <w:uiPriority w:val="0"/>
  </w:style>
  <w:style w:type="paragraph" w:customStyle="1" w:styleId="86">
    <w:name w:val="默认段落字体 Para Char Char Char Char Char Char Char Char Char Char"/>
    <w:basedOn w:val="1"/>
    <w:qFormat/>
    <w:uiPriority w:val="0"/>
  </w:style>
  <w:style w:type="paragraph" w:customStyle="1" w:styleId="87">
    <w:name w:val="图表题注"/>
    <w:basedOn w:val="17"/>
    <w:next w:val="16"/>
    <w:qFormat/>
    <w:uiPriority w:val="0"/>
    <w:pPr>
      <w:spacing w:before="152" w:after="160"/>
      <w:jc w:val="center"/>
    </w:pPr>
    <w:rPr>
      <w:rFonts w:ascii="Times New Roman" w:hAnsi="Times New Roman" w:eastAsia="宋体"/>
      <w:sz w:val="21"/>
    </w:rPr>
  </w:style>
  <w:style w:type="paragraph" w:customStyle="1" w:styleId="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标题 3（绿盟科技）"/>
    <w:basedOn w:val="5"/>
    <w:next w:val="1"/>
    <w:qFormat/>
    <w:uiPriority w:val="0"/>
    <w:pPr>
      <w:tabs>
        <w:tab w:val="left" w:pos="360"/>
        <w:tab w:val="left" w:pos="960"/>
      </w:tabs>
      <w:jc w:val="left"/>
    </w:pPr>
    <w:rPr>
      <w:rFonts w:ascii="Arial" w:hAnsi="Arial" w:eastAsia="黑体"/>
      <w:kern w:val="0"/>
      <w:sz w:val="30"/>
      <w:szCs w:val="30"/>
    </w:rPr>
  </w:style>
  <w:style w:type="paragraph" w:customStyle="1" w:styleId="90">
    <w:name w:val="Char1 Char Char Char"/>
    <w:basedOn w:val="1"/>
    <w:qFormat/>
    <w:uiPriority w:val="0"/>
  </w:style>
  <w:style w:type="paragraph" w:customStyle="1" w:styleId="91">
    <w:name w:val="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2">
    <w:name w:val="列表段落1"/>
    <w:basedOn w:val="1"/>
    <w:qFormat/>
    <w:uiPriority w:val="0"/>
    <w:pPr>
      <w:ind w:firstLine="200" w:firstLineChars="200"/>
    </w:pPr>
  </w:style>
  <w:style w:type="paragraph" w:customStyle="1" w:styleId="93">
    <w:name w:val="表格文字"/>
    <w:next w:val="2"/>
    <w:qFormat/>
    <w:uiPriority w:val="0"/>
    <w:pPr>
      <w:jc w:val="center"/>
    </w:pPr>
    <w:rPr>
      <w:rFonts w:ascii="Times New Roman" w:hAnsi="Times New Roman" w:eastAsia="楷体_GB2312" w:cs="Times New Roman"/>
      <w:sz w:val="24"/>
      <w:lang w:val="en-US" w:eastAsia="zh-CN" w:bidi="ar-SA"/>
    </w:rPr>
  </w:style>
  <w:style w:type="paragraph" w:customStyle="1" w:styleId="94">
    <w:name w:val="Char"/>
    <w:basedOn w:val="1"/>
    <w:qFormat/>
    <w:uiPriority w:val="0"/>
  </w:style>
  <w:style w:type="paragraph" w:customStyle="1" w:styleId="95">
    <w:name w:val="表格标注（绿盟科技）"/>
    <w:basedOn w:val="96"/>
    <w:next w:val="1"/>
    <w:qFormat/>
    <w:uiPriority w:val="0"/>
  </w:style>
  <w:style w:type="paragraph" w:customStyle="1" w:styleId="96">
    <w:name w:val="插图标注（绿盟科技）"/>
    <w:next w:val="1"/>
    <w:qFormat/>
    <w:uiPriority w:val="0"/>
    <w:pPr>
      <w:spacing w:after="156"/>
      <w:jc w:val="center"/>
    </w:pPr>
    <w:rPr>
      <w:rFonts w:ascii="Arial" w:hAnsi="Arial" w:eastAsia="宋体" w:cs="Arial"/>
      <w:sz w:val="21"/>
      <w:szCs w:val="21"/>
      <w:lang w:val="en-US" w:eastAsia="zh-CN" w:bidi="ar-SA"/>
    </w:rPr>
  </w:style>
  <w:style w:type="paragraph" w:customStyle="1" w:styleId="97">
    <w:name w:val="p0"/>
    <w:basedOn w:val="1"/>
    <w:qFormat/>
    <w:uiPriority w:val="0"/>
    <w:pPr>
      <w:widowControl/>
    </w:pPr>
    <w:rPr>
      <w:kern w:val="0"/>
      <w:szCs w:val="21"/>
    </w:rPr>
  </w:style>
  <w:style w:type="paragraph" w:customStyle="1" w:styleId="9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9">
    <w:name w:val="Achievement"/>
    <w:basedOn w:val="1"/>
    <w:qFormat/>
    <w:uiPriority w:val="0"/>
    <w:pPr>
      <w:widowControl/>
      <w:ind w:left="180" w:hanging="180"/>
      <w:jc w:val="left"/>
    </w:pPr>
    <w:rPr>
      <w:kern w:val="0"/>
      <w:sz w:val="20"/>
    </w:rPr>
  </w:style>
  <w:style w:type="paragraph" w:customStyle="1" w:styleId="100">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01">
    <w:name w:val="正文文本 21"/>
    <w:basedOn w:val="1"/>
    <w:qFormat/>
    <w:uiPriority w:val="0"/>
    <w:pPr>
      <w:adjustRightInd w:val="0"/>
      <w:ind w:left="1332"/>
      <w:jc w:val="left"/>
      <w:textAlignment w:val="baseline"/>
    </w:pPr>
    <w:rPr>
      <w:spacing w:val="-20"/>
      <w:sz w:val="28"/>
    </w:rPr>
  </w:style>
  <w:style w:type="paragraph" w:customStyle="1" w:styleId="102">
    <w:name w:val="标题10"/>
    <w:basedOn w:val="9"/>
    <w:qFormat/>
    <w:uiPriority w:val="0"/>
    <w:pPr>
      <w:tabs>
        <w:tab w:val="left" w:pos="360"/>
        <w:tab w:val="left" w:pos="720"/>
        <w:tab w:val="clear" w:pos="1296"/>
      </w:tabs>
      <w:ind w:left="901" w:leftChars="300" w:hanging="181"/>
    </w:pPr>
    <w:rPr>
      <w:rFonts w:eastAsia="楷体_GB2312"/>
    </w:rPr>
  </w:style>
  <w:style w:type="paragraph" w:customStyle="1" w:styleId="103">
    <w:name w:val="Style1"/>
    <w:basedOn w:val="1"/>
    <w:qFormat/>
    <w:uiPriority w:val="0"/>
    <w:pPr>
      <w:widowControl/>
      <w:tabs>
        <w:tab w:val="left" w:pos="-720"/>
      </w:tabs>
      <w:spacing w:after="120"/>
    </w:pPr>
    <w:rPr>
      <w:spacing w:val="-3"/>
      <w:kern w:val="0"/>
      <w:sz w:val="24"/>
      <w:lang w:val="en-AU" w:eastAsia="en-US"/>
    </w:rPr>
  </w:style>
  <w:style w:type="paragraph" w:customStyle="1" w:styleId="104">
    <w:name w:val="芲"/>
    <w:basedOn w:val="1"/>
    <w:next w:val="1"/>
    <w:qFormat/>
    <w:uiPriority w:val="0"/>
    <w:pPr>
      <w:adjustRightInd w:val="0"/>
      <w:spacing w:line="360" w:lineRule="auto"/>
      <w:ind w:firstLine="425"/>
      <w:jc w:val="right"/>
      <w:textAlignment w:val="baseline"/>
    </w:pPr>
    <w:rPr>
      <w:color w:val="000000"/>
      <w:sz w:val="24"/>
    </w:rPr>
  </w:style>
  <w:style w:type="paragraph" w:customStyle="1" w:styleId="105">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06">
    <w:name w:val="标题 5（有编号）（绿盟科技）"/>
    <w:basedOn w:val="1"/>
    <w:next w:val="1"/>
    <w:qFormat/>
    <w:uiPriority w:val="0"/>
    <w:pPr>
      <w:keepNext/>
      <w:keepLines/>
      <w:spacing w:before="280" w:after="156" w:line="377" w:lineRule="auto"/>
      <w:ind w:left="1134" w:hanging="1134"/>
      <w:jc w:val="left"/>
      <w:outlineLvl w:val="4"/>
    </w:pPr>
    <w:rPr>
      <w:rFonts w:ascii="Arial" w:hAnsi="Arial" w:eastAsia="黑体"/>
      <w:b/>
      <w:kern w:val="0"/>
      <w:sz w:val="24"/>
      <w:szCs w:val="28"/>
    </w:rPr>
  </w:style>
  <w:style w:type="paragraph" w:customStyle="1" w:styleId="107">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para1"/>
    <w:qFormat/>
    <w:uiPriority w:val="0"/>
    <w:rPr>
      <w:rFonts w:hint="default" w:ascii="Arial" w:hAnsi="Arial"/>
      <w:sz w:val="18"/>
    </w:rPr>
  </w:style>
  <w:style w:type="character" w:customStyle="1" w:styleId="109">
    <w:name w:val="style141"/>
    <w:qFormat/>
    <w:uiPriority w:val="0"/>
    <w:rPr>
      <w:b/>
      <w:color w:val="FF9900"/>
      <w:sz w:val="22"/>
    </w:rPr>
  </w:style>
  <w:style w:type="character" w:customStyle="1" w:styleId="110">
    <w:name w:val="标题 Char"/>
    <w:link w:val="52"/>
    <w:qFormat/>
    <w:uiPriority w:val="0"/>
    <w:rPr>
      <w:rFonts w:ascii="Cambria" w:hAnsi="Cambria" w:cs="Times New Roman"/>
      <w:b/>
      <w:bCs/>
      <w:kern w:val="2"/>
      <w:sz w:val="32"/>
      <w:szCs w:val="32"/>
    </w:rPr>
  </w:style>
  <w:style w:type="character" w:customStyle="1" w:styleId="111">
    <w:name w:val="w1"/>
    <w:basedOn w:val="58"/>
    <w:qFormat/>
    <w:uiPriority w:val="0"/>
  </w:style>
  <w:style w:type="character" w:customStyle="1" w:styleId="112">
    <w:name w:val="large1"/>
    <w:qFormat/>
    <w:uiPriority w:val="0"/>
    <w:rPr>
      <w:rFonts w:hint="eastAsia" w:ascii="宋体" w:hAnsi="宋体" w:eastAsia="宋体"/>
      <w:sz w:val="21"/>
      <w:szCs w:val="21"/>
    </w:rPr>
  </w:style>
  <w:style w:type="character" w:customStyle="1" w:styleId="113">
    <w:name w:val="hei"/>
    <w:basedOn w:val="58"/>
    <w:qFormat/>
    <w:uiPriority w:val="0"/>
  </w:style>
  <w:style w:type="character" w:customStyle="1" w:styleId="114">
    <w:name w:val="List Paragraph Char"/>
    <w:link w:val="69"/>
    <w:qFormat/>
    <w:locked/>
    <w:uiPriority w:val="0"/>
    <w:rPr>
      <w:rFonts w:eastAsia="宋体"/>
      <w:kern w:val="2"/>
      <w:sz w:val="21"/>
      <w:szCs w:val="24"/>
      <w:lang w:val="en-US" w:eastAsia="zh-CN" w:bidi="ar-SA"/>
    </w:rPr>
  </w:style>
  <w:style w:type="character" w:customStyle="1" w:styleId="115">
    <w:name w:val="正文文本 Char"/>
    <w:link w:val="2"/>
    <w:qFormat/>
    <w:uiPriority w:val="0"/>
    <w:rPr>
      <w:rFonts w:eastAsia="宋体"/>
      <w:kern w:val="2"/>
      <w:sz w:val="21"/>
      <w:lang w:val="en-US" w:eastAsia="zh-CN" w:bidi="ar-SA"/>
    </w:rPr>
  </w:style>
  <w:style w:type="character" w:customStyle="1" w:styleId="116">
    <w:name w:val="case31"/>
    <w:qFormat/>
    <w:uiPriority w:val="0"/>
    <w:rPr>
      <w:rFonts w:hint="default" w:ascii="ˎ̥" w:hAnsi="ˎ̥"/>
      <w:sz w:val="21"/>
    </w:rPr>
  </w:style>
  <w:style w:type="character" w:customStyle="1" w:styleId="117">
    <w:name w:val="纯文本 Char"/>
    <w:link w:val="29"/>
    <w:qFormat/>
    <w:uiPriority w:val="0"/>
    <w:rPr>
      <w:rFonts w:ascii="宋体" w:hAnsi="Courier New" w:eastAsia="宋体"/>
      <w:kern w:val="2"/>
      <w:sz w:val="28"/>
      <w:lang w:val="en-US" w:eastAsia="zh-CN" w:bidi="ar-SA"/>
    </w:rPr>
  </w:style>
  <w:style w:type="paragraph" w:customStyle="1" w:styleId="118">
    <w:name w:val="样式 样式 左侧:  2 字符 + 左侧:  0.85 厘米 首行缩进:  2 字符1"/>
    <w:basedOn w:val="1"/>
    <w:qFormat/>
    <w:uiPriority w:val="0"/>
    <w:pPr>
      <w:ind w:left="482" w:firstLine="200" w:firstLineChars="200"/>
    </w:pPr>
    <w:rPr>
      <w:rFonts w:cs="宋体"/>
    </w:rPr>
  </w:style>
  <w:style w:type="paragraph" w:customStyle="1" w:styleId="119">
    <w:name w:val="U_正文2"/>
    <w:basedOn w:val="1"/>
    <w:qFormat/>
    <w:uiPriority w:val="0"/>
    <w:pPr>
      <w:spacing w:beforeLines="10" w:afterLines="10" w:line="300" w:lineRule="auto"/>
    </w:pPr>
    <w:rPr>
      <w:sz w:val="24"/>
      <w:szCs w:val="24"/>
    </w:rPr>
  </w:style>
  <w:style w:type="paragraph" w:customStyle="1" w:styleId="120">
    <w:name w:val="正文_0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29245-AFFB-4997-BCE3-C43CEEA9EA38}">
  <ds:schemaRefs/>
</ds:datastoreItem>
</file>

<file path=docProps/app.xml><?xml version="1.0" encoding="utf-8"?>
<Properties xmlns="http://schemas.openxmlformats.org/officeDocument/2006/extended-properties" xmlns:vt="http://schemas.openxmlformats.org/officeDocument/2006/docPropsVTypes">
  <Template>Normal</Template>
  <Company>山东中钢招标有限公司</Company>
  <Pages>53</Pages>
  <Words>4118</Words>
  <Characters>23474</Characters>
  <Lines>195</Lines>
  <Paragraphs>55</Paragraphs>
  <TotalTime>0</TotalTime>
  <ScaleCrop>false</ScaleCrop>
  <LinksUpToDate>false</LinksUpToDate>
  <CharactersWithSpaces>27537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2018-08-03T01:28:00Z</dcterms:created>
  <dc:creator>周华兵</dc:creator>
  <cp:lastModifiedBy>韩</cp:lastModifiedBy>
  <cp:lastPrinted>2019-11-18T07:41:00Z</cp:lastPrinted>
  <dcterms:modified xsi:type="dcterms:W3CDTF">2020-01-07T08:36:16Z</dcterms:modified>
  <dc:title>目   录</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