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ascii="宋体" w:hAnsi="宋体"/>
          <w:sz w:val="48"/>
          <w:szCs w:val="48"/>
        </w:rPr>
      </w:pPr>
    </w:p>
    <w:p>
      <w:pPr>
        <w:spacing w:line="540" w:lineRule="exact"/>
        <w:jc w:val="center"/>
        <w:rPr>
          <w:rFonts w:ascii="宋体" w:hAnsi="宋体"/>
          <w:sz w:val="52"/>
          <w:szCs w:val="52"/>
        </w:rPr>
      </w:pPr>
    </w:p>
    <w:p>
      <w:pPr>
        <w:spacing w:line="360" w:lineRule="auto"/>
        <w:jc w:val="center"/>
        <w:rPr>
          <w:rFonts w:ascii="宋体" w:hAnsi="宋体"/>
          <w:b/>
          <w:sz w:val="52"/>
          <w:szCs w:val="52"/>
        </w:rPr>
      </w:pPr>
      <w:r>
        <w:rPr>
          <w:rFonts w:hint="eastAsia" w:ascii="宋体" w:hAnsi="宋体"/>
          <w:b/>
          <w:sz w:val="40"/>
          <w:szCs w:val="40"/>
        </w:rPr>
        <w:t>临沂市妇女儿童医院干式生化分析仪、尿液分析流水线采购项目</w:t>
      </w:r>
    </w:p>
    <w:p>
      <w:pPr>
        <w:spacing w:line="440" w:lineRule="exact"/>
        <w:jc w:val="center"/>
        <w:rPr>
          <w:rFonts w:ascii="宋体" w:hAnsi="宋体"/>
          <w:b/>
          <w:spacing w:val="-28"/>
          <w:sz w:val="36"/>
          <w:szCs w:val="36"/>
        </w:rPr>
      </w:pPr>
    </w:p>
    <w:p>
      <w:pPr>
        <w:spacing w:line="440" w:lineRule="exact"/>
        <w:jc w:val="center"/>
        <w:rPr>
          <w:rFonts w:ascii="宋体" w:hAnsi="宋体"/>
          <w:b/>
          <w:spacing w:val="-28"/>
          <w:sz w:val="36"/>
          <w:szCs w:val="36"/>
        </w:rPr>
      </w:pPr>
    </w:p>
    <w:p>
      <w:pPr>
        <w:spacing w:line="440" w:lineRule="exact"/>
        <w:jc w:val="center"/>
        <w:rPr>
          <w:rFonts w:ascii="宋体" w:hAnsi="宋体"/>
          <w:b/>
          <w:spacing w:val="-28"/>
          <w:sz w:val="36"/>
          <w:szCs w:val="36"/>
        </w:rPr>
      </w:pPr>
    </w:p>
    <w:p>
      <w:pPr>
        <w:snapToGrid w:val="0"/>
        <w:spacing w:line="1200" w:lineRule="exact"/>
        <w:jc w:val="center"/>
        <w:rPr>
          <w:rFonts w:ascii="宋体" w:hAnsi="宋体"/>
          <w:b/>
          <w:sz w:val="84"/>
          <w:szCs w:val="84"/>
          <w:u w:val="double"/>
        </w:rPr>
      </w:pPr>
      <w:r>
        <w:rPr>
          <w:rFonts w:hint="eastAsia" w:ascii="宋体" w:hAnsi="宋体"/>
          <w:b/>
          <w:sz w:val="100"/>
          <w:szCs w:val="100"/>
          <w:u w:val="double"/>
        </w:rPr>
        <w:t>竞争性磋商文件</w:t>
      </w:r>
    </w:p>
    <w:p>
      <w:pPr>
        <w:spacing w:line="440" w:lineRule="exact"/>
        <w:jc w:val="center"/>
        <w:rPr>
          <w:rFonts w:ascii="宋体" w:hAnsi="宋体"/>
          <w:b/>
          <w:sz w:val="32"/>
        </w:rPr>
      </w:pPr>
    </w:p>
    <w:p>
      <w:pPr>
        <w:spacing w:line="440" w:lineRule="exact"/>
        <w:jc w:val="center"/>
        <w:rPr>
          <w:rFonts w:ascii="宋体" w:hAnsi="宋体"/>
          <w:b/>
          <w:sz w:val="32"/>
        </w:rPr>
      </w:pPr>
      <w:r>
        <w:rPr>
          <w:rFonts w:hint="eastAsia" w:ascii="宋体" w:hAnsi="宋体"/>
          <w:b/>
          <w:sz w:val="32"/>
        </w:rPr>
        <w:t xml:space="preserve">   项目编号：SDYZCG-2019-080</w:t>
      </w:r>
    </w:p>
    <w:p>
      <w:pPr>
        <w:pStyle w:val="66"/>
        <w:ind w:firstLine="643"/>
        <w:jc w:val="center"/>
        <w:rPr>
          <w:rFonts w:hint="default" w:eastAsia="宋体"/>
          <w:lang w:val="en-US" w:eastAsia="zh-CN"/>
        </w:rPr>
      </w:pPr>
      <w:r>
        <w:rPr>
          <w:rFonts w:hint="eastAsia" w:ascii="宋体" w:hAnsi="宋体"/>
          <w:b/>
          <w:sz w:val="32"/>
        </w:rPr>
        <w:t>交易登记号：</w:t>
      </w:r>
      <w:r>
        <w:rPr>
          <w:rFonts w:hint="eastAsia" w:ascii="宋体" w:hAnsi="宋体"/>
          <w:b/>
          <w:sz w:val="32"/>
          <w:szCs w:val="22"/>
        </w:rPr>
        <w:t>19CGXMSZ0</w:t>
      </w:r>
      <w:r>
        <w:rPr>
          <w:rFonts w:hint="eastAsia" w:ascii="宋体" w:hAnsi="宋体"/>
          <w:b/>
          <w:sz w:val="32"/>
          <w:szCs w:val="22"/>
          <w:lang w:val="en-US" w:eastAsia="zh-CN"/>
        </w:rPr>
        <w:t>396</w:t>
      </w:r>
      <w:bookmarkStart w:id="46" w:name="_GoBack"/>
      <w:bookmarkEnd w:id="46"/>
    </w:p>
    <w:p>
      <w:pPr>
        <w:spacing w:line="440" w:lineRule="exact"/>
        <w:jc w:val="center"/>
        <w:rPr>
          <w:rFonts w:ascii="宋体" w:hAnsi="宋体"/>
          <w:b/>
          <w:sz w:val="32"/>
        </w:rPr>
      </w:pPr>
    </w:p>
    <w:p>
      <w:pPr>
        <w:pStyle w:val="66"/>
      </w:pPr>
    </w:p>
    <w:p>
      <w:pPr>
        <w:spacing w:line="440" w:lineRule="exact"/>
        <w:jc w:val="center"/>
        <w:rPr>
          <w:rFonts w:ascii="宋体" w:hAnsi="宋体"/>
          <w:b/>
          <w:sz w:val="32"/>
        </w:rPr>
      </w:pPr>
    </w:p>
    <w:p>
      <w:pPr>
        <w:spacing w:line="440" w:lineRule="exact"/>
        <w:ind w:left="1667" w:leftChars="299" w:hanging="1039" w:hangingChars="495"/>
        <w:rPr>
          <w:rFonts w:ascii="宋体" w:hAnsi="宋体"/>
          <w:b/>
          <w:sz w:val="32"/>
        </w:rPr>
      </w:pPr>
      <w:r>
        <w:rPr>
          <w:rFonts w:hint="eastAsia" w:ascii="宋体" w:hAnsi="宋体"/>
        </w:rPr>
        <w:drawing>
          <wp:anchor distT="0" distB="0" distL="114300" distR="114300" simplePos="0" relativeHeight="251658240" behindDoc="0" locked="0" layoutInCell="1" allowOverlap="1">
            <wp:simplePos x="0" y="0"/>
            <wp:positionH relativeFrom="column">
              <wp:posOffset>471805</wp:posOffset>
            </wp:positionH>
            <wp:positionV relativeFrom="paragraph">
              <wp:posOffset>20955</wp:posOffset>
            </wp:positionV>
            <wp:extent cx="5352415" cy="1972945"/>
            <wp:effectExtent l="19050" t="0" r="635" b="0"/>
            <wp:wrapNone/>
            <wp:docPr id="4" name="Picture 2" descr="元真商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元真商标"/>
                    <pic:cNvPicPr>
                      <a:picLocks noChangeAspect="1" noChangeArrowheads="1"/>
                    </pic:cNvPicPr>
                  </pic:nvPicPr>
                  <pic:blipFill>
                    <a:blip r:embed="rId11"/>
                    <a:srcRect t="27672" b="29713"/>
                    <a:stretch>
                      <a:fillRect/>
                    </a:stretch>
                  </pic:blipFill>
                  <pic:spPr>
                    <a:xfrm>
                      <a:off x="0" y="0"/>
                      <a:ext cx="5352415" cy="1972945"/>
                    </a:xfrm>
                    <a:prstGeom prst="rect">
                      <a:avLst/>
                    </a:prstGeom>
                    <a:noFill/>
                    <a:ln w="9525" cmpd="sng">
                      <a:noFill/>
                      <a:miter lim="800000"/>
                      <a:headEnd/>
                      <a:tailEnd/>
                    </a:ln>
                  </pic:spPr>
                </pic:pic>
              </a:graphicData>
            </a:graphic>
          </wp:anchor>
        </w:drawing>
      </w: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rPr>
          <w:rFonts w:ascii="宋体" w:hAnsi="宋体"/>
          <w:b/>
          <w:sz w:val="32"/>
        </w:rPr>
      </w:pPr>
    </w:p>
    <w:p>
      <w:pPr>
        <w:pStyle w:val="39"/>
      </w:pPr>
    </w:p>
    <w:p>
      <w:pPr>
        <w:spacing w:line="440" w:lineRule="exact"/>
        <w:ind w:left="2218" w:leftChars="299" w:hanging="1590" w:hangingChars="495"/>
        <w:rPr>
          <w:rFonts w:ascii="宋体" w:hAnsi="宋体"/>
          <w:b/>
          <w:sz w:val="32"/>
        </w:rPr>
      </w:pPr>
    </w:p>
    <w:p>
      <w:pPr>
        <w:spacing w:line="600" w:lineRule="exact"/>
        <w:ind w:firstLine="1430" w:firstLineChars="445"/>
        <w:rPr>
          <w:rFonts w:ascii="宋体" w:hAnsi="宋体"/>
          <w:b/>
          <w:sz w:val="32"/>
        </w:rPr>
      </w:pPr>
      <w:r>
        <w:rPr>
          <w:rFonts w:hint="eastAsia" w:ascii="宋体" w:hAnsi="宋体"/>
          <w:b/>
          <w:sz w:val="32"/>
        </w:rPr>
        <w:t xml:space="preserve">  招标单位：临沂市妇女儿童医院</w:t>
      </w:r>
    </w:p>
    <w:p>
      <w:pPr>
        <w:spacing w:line="600" w:lineRule="exact"/>
        <w:ind w:firstLine="1430" w:firstLineChars="445"/>
        <w:rPr>
          <w:rFonts w:ascii="宋体" w:hAnsi="宋体"/>
          <w:b/>
          <w:sz w:val="32"/>
        </w:rPr>
      </w:pPr>
      <w:r>
        <w:rPr>
          <w:rFonts w:hint="eastAsia" w:ascii="宋体" w:hAnsi="宋体"/>
          <w:b/>
          <w:sz w:val="32"/>
        </w:rPr>
        <w:t xml:space="preserve">  代理单位：山东元真建设项目管理有限公司</w:t>
      </w:r>
    </w:p>
    <w:p>
      <w:pPr>
        <w:spacing w:line="600" w:lineRule="exact"/>
        <w:ind w:firstLine="1430" w:firstLineChars="445"/>
        <w:rPr>
          <w:rFonts w:ascii="宋体" w:hAnsi="宋体"/>
          <w:b/>
          <w:sz w:val="32"/>
        </w:rPr>
      </w:pPr>
      <w:r>
        <w:rPr>
          <w:rFonts w:hint="eastAsia" w:ascii="宋体" w:hAnsi="宋体"/>
          <w:b/>
          <w:sz w:val="32"/>
        </w:rPr>
        <w:t xml:space="preserve">  日    期：二〇一九年六月</w:t>
      </w:r>
    </w:p>
    <w:p>
      <w:pPr>
        <w:pStyle w:val="3"/>
        <w:spacing w:beforeLines="100" w:afterLines="100"/>
        <w:ind w:firstLine="0" w:firstLineChars="0"/>
        <w:jc w:val="center"/>
        <w:rPr>
          <w:b/>
          <w:sz w:val="36"/>
          <w:szCs w:val="36"/>
          <w:lang w:val="zh-CN"/>
        </w:rPr>
        <w:sectPr>
          <w:pgSz w:w="11906" w:h="16838"/>
          <w:pgMar w:top="1440" w:right="1800" w:bottom="1440" w:left="1800" w:header="851" w:footer="992" w:gutter="0"/>
          <w:cols w:space="720" w:num="1"/>
          <w:docGrid w:linePitch="312" w:charSpace="0"/>
        </w:sectPr>
      </w:pPr>
    </w:p>
    <w:p>
      <w:pPr>
        <w:pStyle w:val="3"/>
        <w:spacing w:beforeLines="100" w:afterLines="100"/>
        <w:ind w:firstLine="0" w:firstLineChars="0"/>
        <w:jc w:val="center"/>
        <w:rPr>
          <w:rFonts w:ascii="宋体" w:hAnsi="宋体" w:cs="仿宋"/>
          <w:b/>
          <w:sz w:val="36"/>
          <w:szCs w:val="36"/>
        </w:rPr>
      </w:pPr>
      <w:r>
        <w:rPr>
          <w:b/>
          <w:sz w:val="36"/>
          <w:szCs w:val="36"/>
          <w:lang w:val="zh-CN"/>
        </w:rPr>
        <w:t>目录</w:t>
      </w:r>
    </w:p>
    <w:p>
      <w:pPr>
        <w:pStyle w:val="39"/>
        <w:tabs>
          <w:tab w:val="right" w:leader="dot" w:pos="8296"/>
        </w:tabs>
        <w:spacing w:line="260" w:lineRule="exact"/>
        <w:rPr>
          <w:rFonts w:ascii="宋体" w:hAnsi="宋体"/>
          <w:b w:val="0"/>
          <w:caps w:val="0"/>
          <w:sz w:val="21"/>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"_Toc511397031" </w:instrText>
      </w:r>
      <w:r>
        <w:fldChar w:fldCharType="separate"/>
      </w:r>
      <w:r>
        <w:rPr>
          <w:rStyle w:val="63"/>
          <w:rFonts w:hint="eastAsia" w:ascii="宋体" w:hAnsi="宋体"/>
        </w:rPr>
        <w:t>第一章竞争性磋商公告</w:t>
      </w:r>
      <w:r>
        <w:rPr>
          <w:rFonts w:ascii="宋体" w:hAnsi="宋体"/>
        </w:rPr>
        <w:tab/>
      </w:r>
      <w:r>
        <w:rPr>
          <w:rFonts w:ascii="宋体" w:hAnsi="宋体"/>
        </w:rPr>
        <w:fldChar w:fldCharType="begin"/>
      </w:r>
      <w:r>
        <w:rPr>
          <w:rFonts w:ascii="宋体" w:hAnsi="宋体"/>
        </w:rPr>
        <w:instrText xml:space="preserve"> PAGEREF _Toc511397031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39"/>
        <w:tabs>
          <w:tab w:val="right" w:leader="dot" w:pos="8296"/>
        </w:tabs>
        <w:spacing w:line="260" w:lineRule="exact"/>
        <w:rPr>
          <w:rFonts w:ascii="宋体" w:hAnsi="宋体"/>
          <w:b w:val="0"/>
          <w:caps w:val="0"/>
          <w:sz w:val="21"/>
          <w:szCs w:val="22"/>
        </w:rPr>
      </w:pPr>
      <w:r>
        <w:fldChar w:fldCharType="begin"/>
      </w:r>
      <w:r>
        <w:instrText xml:space="preserve"> HYPERLINK \l "_Toc511397032" </w:instrText>
      </w:r>
      <w:r>
        <w:fldChar w:fldCharType="separate"/>
      </w:r>
      <w:r>
        <w:rPr>
          <w:rStyle w:val="63"/>
          <w:rFonts w:hint="eastAsia" w:ascii="宋体" w:hAnsi="宋体"/>
        </w:rPr>
        <w:t>第二章供应商须知</w:t>
      </w:r>
      <w:r>
        <w:rPr>
          <w:rFonts w:ascii="宋体" w:hAnsi="宋体"/>
        </w:rPr>
        <w:tab/>
      </w:r>
      <w:r>
        <w:rPr>
          <w:rFonts w:ascii="宋体" w:hAnsi="宋体"/>
        </w:rPr>
        <w:fldChar w:fldCharType="begin"/>
      </w:r>
      <w:r>
        <w:rPr>
          <w:rFonts w:ascii="宋体" w:hAnsi="宋体"/>
        </w:rPr>
        <w:instrText xml:space="preserve"> PAGEREF _Toc511397032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49"/>
        <w:tabs>
          <w:tab w:val="right" w:leader="dot" w:pos="8296"/>
        </w:tabs>
        <w:spacing w:line="260" w:lineRule="exact"/>
        <w:rPr>
          <w:rFonts w:ascii="宋体" w:hAnsi="宋体"/>
          <w:smallCaps w:val="0"/>
          <w:sz w:val="21"/>
          <w:szCs w:val="22"/>
        </w:rPr>
      </w:pPr>
      <w:r>
        <w:fldChar w:fldCharType="begin"/>
      </w:r>
      <w:r>
        <w:instrText xml:space="preserve"> HYPERLINK \l "_Toc511397033" </w:instrText>
      </w:r>
      <w:r>
        <w:fldChar w:fldCharType="separate"/>
      </w:r>
      <w:r>
        <w:rPr>
          <w:rStyle w:val="63"/>
          <w:rFonts w:hint="eastAsia" w:ascii="宋体" w:hAnsi="宋体"/>
        </w:rPr>
        <w:t>前附表</w:t>
      </w:r>
      <w:r>
        <w:rPr>
          <w:rFonts w:ascii="宋体" w:hAnsi="宋体"/>
        </w:rPr>
        <w:tab/>
      </w:r>
      <w:r>
        <w:rPr>
          <w:rFonts w:ascii="宋体" w:hAnsi="宋体"/>
        </w:rPr>
        <w:fldChar w:fldCharType="begin"/>
      </w:r>
      <w:r>
        <w:rPr>
          <w:rFonts w:ascii="宋体" w:hAnsi="宋体"/>
        </w:rPr>
        <w:instrText xml:space="preserve"> PAGEREF _Toc511397033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49"/>
        <w:tabs>
          <w:tab w:val="right" w:leader="dot" w:pos="8296"/>
        </w:tabs>
        <w:spacing w:line="260" w:lineRule="exact"/>
        <w:rPr>
          <w:rFonts w:ascii="宋体" w:hAnsi="宋体"/>
          <w:smallCaps w:val="0"/>
          <w:sz w:val="21"/>
          <w:szCs w:val="22"/>
        </w:rPr>
      </w:pPr>
      <w:r>
        <w:fldChar w:fldCharType="begin"/>
      </w:r>
      <w:r>
        <w:instrText xml:space="preserve"> HYPERLINK \l "_Toc511397034" </w:instrText>
      </w:r>
      <w:r>
        <w:fldChar w:fldCharType="separate"/>
      </w:r>
      <w:r>
        <w:rPr>
          <w:rStyle w:val="63"/>
          <w:rFonts w:hint="eastAsia" w:ascii="宋体" w:hAnsi="宋体"/>
        </w:rPr>
        <w:t>一、说明</w:t>
      </w:r>
      <w:r>
        <w:rPr>
          <w:rFonts w:ascii="宋体" w:hAnsi="宋体"/>
        </w:rPr>
        <w:tab/>
      </w:r>
      <w:r>
        <w:rPr>
          <w:rFonts w:ascii="宋体" w:hAnsi="宋体"/>
        </w:rPr>
        <w:fldChar w:fldCharType="begin"/>
      </w:r>
      <w:r>
        <w:rPr>
          <w:rFonts w:ascii="宋体" w:hAnsi="宋体"/>
        </w:rPr>
        <w:instrText xml:space="preserve"> PAGEREF _Toc511397034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"_Toc511397035" </w:instrText>
      </w:r>
      <w:r>
        <w:fldChar w:fldCharType="separate"/>
      </w:r>
      <w:r>
        <w:rPr>
          <w:rStyle w:val="63"/>
          <w:rFonts w:ascii="宋体" w:hAnsi="宋体"/>
          <w:i w:val="0"/>
        </w:rPr>
        <w:t>1.</w:t>
      </w:r>
      <w:r>
        <w:rPr>
          <w:rStyle w:val="63"/>
          <w:rFonts w:hint="eastAsia" w:ascii="宋体" w:hAnsi="宋体"/>
          <w:i w:val="0"/>
        </w:rPr>
        <w:t>适用法律及范围</w:t>
      </w:r>
      <w:r>
        <w:rPr>
          <w:rFonts w:ascii="宋体" w:hAnsi="宋体"/>
          <w:i w:val="0"/>
        </w:rPr>
        <w:tab/>
      </w:r>
      <w:r>
        <w:rPr>
          <w:rFonts w:ascii="宋体" w:hAnsi="宋体"/>
          <w:i w:val="0"/>
        </w:rPr>
        <w:fldChar w:fldCharType="begin"/>
      </w:r>
      <w:r>
        <w:rPr>
          <w:rFonts w:ascii="宋体" w:hAnsi="宋体"/>
          <w:i w:val="0"/>
        </w:rPr>
        <w:instrText xml:space="preserve"> PAGEREF _Toc511397035 \h </w:instrText>
      </w:r>
      <w:r>
        <w:rPr>
          <w:rFonts w:ascii="宋体" w:hAnsi="宋体"/>
          <w:i w:val="0"/>
        </w:rPr>
        <w:fldChar w:fldCharType="separate"/>
      </w:r>
      <w:r>
        <w:rPr>
          <w:rFonts w:ascii="宋体" w:hAnsi="宋体"/>
          <w:i w:val="0"/>
        </w:rPr>
        <w:t>5</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"_Toc511397036" </w:instrText>
      </w:r>
      <w:r>
        <w:fldChar w:fldCharType="separate"/>
      </w:r>
      <w:r>
        <w:rPr>
          <w:rStyle w:val="63"/>
          <w:rFonts w:ascii="宋体" w:hAnsi="宋体"/>
          <w:i w:val="0"/>
        </w:rPr>
        <w:t>2.</w:t>
      </w:r>
      <w:r>
        <w:rPr>
          <w:rStyle w:val="63"/>
          <w:rFonts w:hint="eastAsia" w:ascii="宋体" w:hAnsi="宋体"/>
          <w:i w:val="0"/>
        </w:rPr>
        <w:t>定义</w:t>
      </w:r>
      <w:r>
        <w:rPr>
          <w:rFonts w:ascii="宋体" w:hAnsi="宋体"/>
          <w:i w:val="0"/>
        </w:rPr>
        <w:tab/>
      </w:r>
      <w:r>
        <w:rPr>
          <w:rFonts w:ascii="宋体" w:hAnsi="宋体"/>
          <w:i w:val="0"/>
        </w:rPr>
        <w:fldChar w:fldCharType="begin"/>
      </w:r>
      <w:r>
        <w:rPr>
          <w:rFonts w:ascii="宋体" w:hAnsi="宋体"/>
          <w:i w:val="0"/>
        </w:rPr>
        <w:instrText xml:space="preserve"> PAGEREF _Toc511397036 \h </w:instrText>
      </w:r>
      <w:r>
        <w:rPr>
          <w:rFonts w:ascii="宋体" w:hAnsi="宋体"/>
          <w:i w:val="0"/>
        </w:rPr>
        <w:fldChar w:fldCharType="separate"/>
      </w:r>
      <w:r>
        <w:rPr>
          <w:rFonts w:ascii="宋体" w:hAnsi="宋体"/>
          <w:i w:val="0"/>
        </w:rPr>
        <w:t>5</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"_Toc511397037" </w:instrText>
      </w:r>
      <w:r>
        <w:fldChar w:fldCharType="separate"/>
      </w:r>
      <w:r>
        <w:rPr>
          <w:rStyle w:val="63"/>
          <w:rFonts w:ascii="宋体" w:hAnsi="宋体"/>
          <w:i w:val="0"/>
        </w:rPr>
        <w:t>3.</w:t>
      </w:r>
      <w:r>
        <w:rPr>
          <w:rStyle w:val="63"/>
          <w:rFonts w:hint="eastAsia" w:ascii="宋体" w:hAnsi="宋体"/>
          <w:i w:val="0"/>
        </w:rPr>
        <w:t>报价费用</w:t>
      </w:r>
      <w:r>
        <w:rPr>
          <w:rFonts w:ascii="宋体" w:hAnsi="宋体"/>
          <w:i w:val="0"/>
        </w:rPr>
        <w:tab/>
      </w:r>
      <w:r>
        <w:rPr>
          <w:rFonts w:ascii="宋体" w:hAnsi="宋体"/>
          <w:i w:val="0"/>
        </w:rPr>
        <w:fldChar w:fldCharType="begin"/>
      </w:r>
      <w:r>
        <w:rPr>
          <w:rFonts w:ascii="宋体" w:hAnsi="宋体"/>
          <w:i w:val="0"/>
        </w:rPr>
        <w:instrText xml:space="preserve"> PAGEREF _Toc511397037 \h </w:instrText>
      </w:r>
      <w:r>
        <w:rPr>
          <w:rFonts w:ascii="宋体" w:hAnsi="宋体"/>
          <w:i w:val="0"/>
        </w:rPr>
        <w:fldChar w:fldCharType="separate"/>
      </w:r>
      <w:r>
        <w:rPr>
          <w:rFonts w:ascii="宋体" w:hAnsi="宋体"/>
          <w:i w:val="0"/>
        </w:rPr>
        <w:t>6</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"_Toc511397038" </w:instrText>
      </w:r>
      <w:r>
        <w:fldChar w:fldCharType="separate"/>
      </w:r>
      <w:r>
        <w:rPr>
          <w:rStyle w:val="63"/>
          <w:rFonts w:ascii="宋体" w:hAnsi="宋体"/>
          <w:i w:val="0"/>
        </w:rPr>
        <w:t>4.</w:t>
      </w:r>
      <w:r>
        <w:rPr>
          <w:rStyle w:val="63"/>
          <w:rFonts w:hint="eastAsia" w:ascii="宋体" w:hAnsi="宋体"/>
          <w:i w:val="0"/>
        </w:rPr>
        <w:t>合格的供应商</w:t>
      </w:r>
      <w:r>
        <w:rPr>
          <w:rFonts w:ascii="宋体" w:hAnsi="宋体"/>
          <w:i w:val="0"/>
        </w:rPr>
        <w:tab/>
      </w:r>
      <w:r>
        <w:rPr>
          <w:rFonts w:ascii="宋体" w:hAnsi="宋体"/>
          <w:i w:val="0"/>
        </w:rPr>
        <w:fldChar w:fldCharType="begin"/>
      </w:r>
      <w:r>
        <w:rPr>
          <w:rFonts w:ascii="宋体" w:hAnsi="宋体"/>
          <w:i w:val="0"/>
        </w:rPr>
        <w:instrText xml:space="preserve"> PAGEREF _Toc511397038 \h </w:instrText>
      </w:r>
      <w:r>
        <w:rPr>
          <w:rFonts w:ascii="宋体" w:hAnsi="宋体"/>
          <w:i w:val="0"/>
        </w:rPr>
        <w:fldChar w:fldCharType="separate"/>
      </w:r>
      <w:r>
        <w:rPr>
          <w:rFonts w:ascii="宋体" w:hAnsi="宋体"/>
          <w:i w:val="0"/>
        </w:rPr>
        <w:t>6</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"_Toc511397039" </w:instrText>
      </w:r>
      <w:r>
        <w:fldChar w:fldCharType="separate"/>
      </w:r>
      <w:r>
        <w:rPr>
          <w:rStyle w:val="63"/>
          <w:rFonts w:ascii="宋体" w:hAnsi="宋体"/>
          <w:i w:val="0"/>
        </w:rPr>
        <w:t>5.</w:t>
      </w:r>
      <w:r>
        <w:rPr>
          <w:rStyle w:val="63"/>
          <w:rFonts w:hint="eastAsia" w:ascii="宋体" w:hAnsi="宋体"/>
          <w:i w:val="0"/>
        </w:rPr>
        <w:t>报价有效期</w:t>
      </w:r>
      <w:r>
        <w:rPr>
          <w:rFonts w:ascii="宋体" w:hAnsi="宋体"/>
          <w:i w:val="0"/>
        </w:rPr>
        <w:tab/>
      </w:r>
      <w:r>
        <w:rPr>
          <w:rFonts w:ascii="宋体" w:hAnsi="宋体"/>
          <w:i w:val="0"/>
        </w:rPr>
        <w:fldChar w:fldCharType="begin"/>
      </w:r>
      <w:r>
        <w:rPr>
          <w:rFonts w:ascii="宋体" w:hAnsi="宋体"/>
          <w:i w:val="0"/>
        </w:rPr>
        <w:instrText xml:space="preserve"> PAGEREF _Toc511397039 \h </w:instrText>
      </w:r>
      <w:r>
        <w:rPr>
          <w:rFonts w:ascii="宋体" w:hAnsi="宋体"/>
          <w:i w:val="0"/>
        </w:rPr>
        <w:fldChar w:fldCharType="separate"/>
      </w:r>
      <w:r>
        <w:rPr>
          <w:rFonts w:ascii="宋体" w:hAnsi="宋体"/>
          <w:i w:val="0"/>
        </w:rPr>
        <w:t>6</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"_Toc511397040" </w:instrText>
      </w:r>
      <w:r>
        <w:fldChar w:fldCharType="separate"/>
      </w:r>
      <w:r>
        <w:rPr>
          <w:rStyle w:val="63"/>
          <w:rFonts w:ascii="宋体" w:hAnsi="宋体"/>
          <w:i w:val="0"/>
        </w:rPr>
        <w:t>6.</w:t>
      </w:r>
      <w:r>
        <w:rPr>
          <w:rStyle w:val="63"/>
          <w:rFonts w:hint="eastAsia" w:ascii="宋体" w:hAnsi="宋体"/>
          <w:i w:val="0"/>
        </w:rPr>
        <w:t>投标保证金</w:t>
      </w:r>
      <w:r>
        <w:rPr>
          <w:rFonts w:ascii="宋体" w:hAnsi="宋体"/>
          <w:i w:val="0"/>
        </w:rPr>
        <w:tab/>
      </w:r>
      <w:r>
        <w:rPr>
          <w:rFonts w:ascii="宋体" w:hAnsi="宋体"/>
          <w:i w:val="0"/>
        </w:rPr>
        <w:fldChar w:fldCharType="begin"/>
      </w:r>
      <w:r>
        <w:rPr>
          <w:rFonts w:ascii="宋体" w:hAnsi="宋体"/>
          <w:i w:val="0"/>
        </w:rPr>
        <w:instrText xml:space="preserve"> PAGEREF _Toc511397040 \h </w:instrText>
      </w:r>
      <w:r>
        <w:rPr>
          <w:rFonts w:ascii="宋体" w:hAnsi="宋体"/>
          <w:i w:val="0"/>
        </w:rPr>
        <w:fldChar w:fldCharType="separate"/>
      </w:r>
      <w:r>
        <w:rPr>
          <w:rFonts w:ascii="宋体" w:hAnsi="宋体"/>
          <w:i w:val="0"/>
        </w:rPr>
        <w:t>6</w:t>
      </w:r>
      <w:r>
        <w:rPr>
          <w:rFonts w:ascii="宋体" w:hAnsi="宋体"/>
          <w:i w:val="0"/>
        </w:rPr>
        <w:fldChar w:fldCharType="end"/>
      </w:r>
      <w:r>
        <w:rPr>
          <w:rFonts w:ascii="宋体" w:hAnsi="宋体"/>
          <w:i w:val="0"/>
        </w:rPr>
        <w:fldChar w:fldCharType="end"/>
      </w:r>
    </w:p>
    <w:p>
      <w:pPr>
        <w:pStyle w:val="49"/>
        <w:tabs>
          <w:tab w:val="right" w:leader="dot" w:pos="8296"/>
        </w:tabs>
        <w:spacing w:line="260" w:lineRule="exact"/>
        <w:rPr>
          <w:rFonts w:ascii="宋体" w:hAnsi="宋体"/>
          <w:smallCaps w:val="0"/>
          <w:sz w:val="21"/>
          <w:szCs w:val="22"/>
        </w:rPr>
      </w:pPr>
      <w:r>
        <w:fldChar w:fldCharType="begin"/>
      </w:r>
      <w:r>
        <w:instrText xml:space="preserve"> HYPERLINK \l "_Toc511397041" </w:instrText>
      </w:r>
      <w:r>
        <w:fldChar w:fldCharType="separate"/>
      </w:r>
      <w:r>
        <w:rPr>
          <w:rStyle w:val="63"/>
          <w:rFonts w:hint="eastAsia" w:ascii="宋体" w:hAnsi="宋体"/>
        </w:rPr>
        <w:t>二、招标文件</w:t>
      </w:r>
      <w:r>
        <w:rPr>
          <w:rFonts w:ascii="宋体" w:hAnsi="宋体"/>
        </w:rPr>
        <w:tab/>
      </w:r>
      <w:r>
        <w:rPr>
          <w:rFonts w:ascii="宋体" w:hAnsi="宋体"/>
        </w:rPr>
        <w:fldChar w:fldCharType="begin"/>
      </w:r>
      <w:r>
        <w:rPr>
          <w:rFonts w:ascii="宋体" w:hAnsi="宋体"/>
        </w:rPr>
        <w:instrText xml:space="preserve"> PAGEREF _Toc511397041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"_Toc511397042" </w:instrText>
      </w:r>
      <w:r>
        <w:fldChar w:fldCharType="separate"/>
      </w:r>
      <w:r>
        <w:rPr>
          <w:rStyle w:val="63"/>
          <w:rFonts w:ascii="宋体" w:hAnsi="宋体"/>
          <w:i w:val="0"/>
        </w:rPr>
        <w:t>7.</w:t>
      </w:r>
      <w:r>
        <w:rPr>
          <w:rStyle w:val="63"/>
          <w:rFonts w:hint="eastAsia" w:ascii="宋体" w:hAnsi="宋体"/>
          <w:i w:val="0"/>
        </w:rPr>
        <w:t>招标文件的组成</w:t>
      </w:r>
      <w:r>
        <w:rPr>
          <w:rFonts w:ascii="宋体" w:hAnsi="宋体"/>
          <w:i w:val="0"/>
        </w:rPr>
        <w:tab/>
      </w:r>
      <w:r>
        <w:rPr>
          <w:rFonts w:ascii="宋体" w:hAnsi="宋体"/>
          <w:i w:val="0"/>
        </w:rPr>
        <w:fldChar w:fldCharType="begin"/>
      </w:r>
      <w:r>
        <w:rPr>
          <w:rFonts w:ascii="宋体" w:hAnsi="宋体"/>
          <w:i w:val="0"/>
        </w:rPr>
        <w:instrText xml:space="preserve"> PAGEREF _Toc511397042 \h </w:instrText>
      </w:r>
      <w:r>
        <w:rPr>
          <w:rFonts w:ascii="宋体" w:hAnsi="宋体"/>
          <w:i w:val="0"/>
        </w:rPr>
        <w:fldChar w:fldCharType="separate"/>
      </w:r>
      <w:r>
        <w:rPr>
          <w:rFonts w:ascii="宋体" w:hAnsi="宋体"/>
          <w:i w:val="0"/>
        </w:rPr>
        <w:t>7</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"_Toc511397043" </w:instrText>
      </w:r>
      <w:r>
        <w:fldChar w:fldCharType="separate"/>
      </w:r>
      <w:r>
        <w:rPr>
          <w:rStyle w:val="63"/>
          <w:rFonts w:ascii="宋体" w:hAnsi="宋体"/>
          <w:i w:val="0"/>
        </w:rPr>
        <w:t>8.</w:t>
      </w:r>
      <w:r>
        <w:rPr>
          <w:rStyle w:val="63"/>
          <w:rFonts w:hint="eastAsia" w:ascii="宋体" w:hAnsi="宋体"/>
          <w:i w:val="0"/>
        </w:rPr>
        <w:t>招标文件的澄清、修改、补充</w:t>
      </w:r>
      <w:r>
        <w:rPr>
          <w:rFonts w:ascii="宋体" w:hAnsi="宋体"/>
          <w:i w:val="0"/>
        </w:rPr>
        <w:tab/>
      </w:r>
      <w:r>
        <w:rPr>
          <w:rFonts w:ascii="宋体" w:hAnsi="宋体"/>
          <w:i w:val="0"/>
        </w:rPr>
        <w:fldChar w:fldCharType="begin"/>
      </w:r>
      <w:r>
        <w:rPr>
          <w:rFonts w:ascii="宋体" w:hAnsi="宋体"/>
          <w:i w:val="0"/>
        </w:rPr>
        <w:instrText xml:space="preserve"> PAGEREF _Toc511397043 \h </w:instrText>
      </w:r>
      <w:r>
        <w:rPr>
          <w:rFonts w:ascii="宋体" w:hAnsi="宋体"/>
          <w:i w:val="0"/>
        </w:rPr>
        <w:fldChar w:fldCharType="separate"/>
      </w:r>
      <w:r>
        <w:rPr>
          <w:rFonts w:ascii="宋体" w:hAnsi="宋体"/>
          <w:i w:val="0"/>
        </w:rPr>
        <w:t>7</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"_Toc511397044" </w:instrText>
      </w:r>
      <w:r>
        <w:fldChar w:fldCharType="separate"/>
      </w:r>
      <w:r>
        <w:rPr>
          <w:rStyle w:val="63"/>
          <w:rFonts w:ascii="宋体" w:hAnsi="宋体"/>
          <w:i w:val="0"/>
        </w:rPr>
        <w:t>9.</w:t>
      </w:r>
      <w:r>
        <w:rPr>
          <w:rStyle w:val="63"/>
          <w:rFonts w:hint="eastAsia" w:ascii="宋体" w:hAnsi="宋体"/>
          <w:i w:val="0"/>
        </w:rPr>
        <w:t>现场考察</w:t>
      </w:r>
      <w:r>
        <w:rPr>
          <w:rFonts w:ascii="宋体" w:hAnsi="宋体"/>
          <w:i w:val="0"/>
        </w:rPr>
        <w:tab/>
      </w:r>
      <w:r>
        <w:rPr>
          <w:rFonts w:ascii="宋体" w:hAnsi="宋体"/>
          <w:i w:val="0"/>
        </w:rPr>
        <w:fldChar w:fldCharType="begin"/>
      </w:r>
      <w:r>
        <w:rPr>
          <w:rFonts w:ascii="宋体" w:hAnsi="宋体"/>
          <w:i w:val="0"/>
        </w:rPr>
        <w:instrText xml:space="preserve"> PAGEREF _Toc511397044 \h </w:instrText>
      </w:r>
      <w:r>
        <w:rPr>
          <w:rFonts w:ascii="宋体" w:hAnsi="宋体"/>
          <w:i w:val="0"/>
        </w:rPr>
        <w:fldChar w:fldCharType="separate"/>
      </w:r>
      <w:r>
        <w:rPr>
          <w:rFonts w:ascii="宋体" w:hAnsi="宋体"/>
          <w:i w:val="0"/>
        </w:rPr>
        <w:t>8</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"_Toc511397045" </w:instrText>
      </w:r>
      <w:r>
        <w:fldChar w:fldCharType="separate"/>
      </w:r>
      <w:r>
        <w:rPr>
          <w:rStyle w:val="63"/>
          <w:rFonts w:ascii="宋体" w:hAnsi="宋体"/>
          <w:i w:val="0"/>
        </w:rPr>
        <w:t>10.</w:t>
      </w:r>
      <w:r>
        <w:rPr>
          <w:rStyle w:val="63"/>
          <w:rFonts w:hint="eastAsia" w:ascii="宋体" w:hAnsi="宋体"/>
          <w:i w:val="0"/>
        </w:rPr>
        <w:t>解释权</w:t>
      </w:r>
      <w:r>
        <w:rPr>
          <w:rFonts w:ascii="宋体" w:hAnsi="宋体"/>
          <w:i w:val="0"/>
        </w:rPr>
        <w:tab/>
      </w:r>
      <w:r>
        <w:rPr>
          <w:rFonts w:ascii="宋体" w:hAnsi="宋体"/>
          <w:i w:val="0"/>
        </w:rPr>
        <w:fldChar w:fldCharType="begin"/>
      </w:r>
      <w:r>
        <w:rPr>
          <w:rFonts w:ascii="宋体" w:hAnsi="宋体"/>
          <w:i w:val="0"/>
        </w:rPr>
        <w:instrText xml:space="preserve"> PAGEREF _Toc511397045 \h </w:instrText>
      </w:r>
      <w:r>
        <w:rPr>
          <w:rFonts w:ascii="宋体" w:hAnsi="宋体"/>
          <w:i w:val="0"/>
        </w:rPr>
        <w:fldChar w:fldCharType="separate"/>
      </w:r>
      <w:r>
        <w:rPr>
          <w:rFonts w:ascii="宋体" w:hAnsi="宋体"/>
          <w:i w:val="0"/>
        </w:rPr>
        <w:t>8</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"_Toc511397046" </w:instrText>
      </w:r>
      <w:r>
        <w:fldChar w:fldCharType="separate"/>
      </w:r>
      <w:r>
        <w:rPr>
          <w:rStyle w:val="63"/>
          <w:rFonts w:ascii="宋体" w:hAnsi="宋体"/>
          <w:i w:val="0"/>
        </w:rPr>
        <w:t>11.</w:t>
      </w:r>
      <w:r>
        <w:rPr>
          <w:rStyle w:val="63"/>
          <w:rFonts w:hint="eastAsia" w:ascii="宋体" w:hAnsi="宋体"/>
          <w:i w:val="0"/>
        </w:rPr>
        <w:t>招标文件的约束力</w:t>
      </w:r>
      <w:r>
        <w:rPr>
          <w:rFonts w:ascii="宋体" w:hAnsi="宋体"/>
          <w:i w:val="0"/>
        </w:rPr>
        <w:tab/>
      </w:r>
      <w:r>
        <w:rPr>
          <w:rFonts w:ascii="宋体" w:hAnsi="宋体"/>
          <w:i w:val="0"/>
        </w:rPr>
        <w:fldChar w:fldCharType="begin"/>
      </w:r>
      <w:r>
        <w:rPr>
          <w:rFonts w:ascii="宋体" w:hAnsi="宋体"/>
          <w:i w:val="0"/>
        </w:rPr>
        <w:instrText xml:space="preserve"> PAGEREF _Toc511397046 \h </w:instrText>
      </w:r>
      <w:r>
        <w:rPr>
          <w:rFonts w:ascii="宋体" w:hAnsi="宋体"/>
          <w:i w:val="0"/>
        </w:rPr>
        <w:fldChar w:fldCharType="separate"/>
      </w:r>
      <w:r>
        <w:rPr>
          <w:rFonts w:ascii="宋体" w:hAnsi="宋体"/>
          <w:i w:val="0"/>
        </w:rPr>
        <w:t>8</w:t>
      </w:r>
      <w:r>
        <w:rPr>
          <w:rFonts w:ascii="宋体" w:hAnsi="宋体"/>
          <w:i w:val="0"/>
        </w:rPr>
        <w:fldChar w:fldCharType="end"/>
      </w:r>
      <w:r>
        <w:rPr>
          <w:rFonts w:ascii="宋体" w:hAnsi="宋体"/>
          <w:i w:val="0"/>
        </w:rPr>
        <w:fldChar w:fldCharType="end"/>
      </w:r>
    </w:p>
    <w:p>
      <w:pPr>
        <w:pStyle w:val="49"/>
        <w:tabs>
          <w:tab w:val="right" w:leader="dot" w:pos="8296"/>
        </w:tabs>
        <w:spacing w:line="260" w:lineRule="exact"/>
        <w:rPr>
          <w:rFonts w:ascii="宋体" w:hAnsi="宋体"/>
          <w:smallCaps w:val="0"/>
          <w:sz w:val="21"/>
          <w:szCs w:val="22"/>
        </w:rPr>
      </w:pPr>
      <w:r>
        <w:fldChar w:fldCharType="begin"/>
      </w:r>
      <w:r>
        <w:instrText xml:space="preserve"> HYPERLINK \l "_Toc511397047" </w:instrText>
      </w:r>
      <w:r>
        <w:fldChar w:fldCharType="separate"/>
      </w:r>
      <w:r>
        <w:rPr>
          <w:rStyle w:val="63"/>
          <w:rFonts w:hint="eastAsia" w:ascii="宋体" w:hAnsi="宋体"/>
        </w:rPr>
        <w:t>三、响应文件的编制</w:t>
      </w:r>
      <w:r>
        <w:rPr>
          <w:rFonts w:ascii="宋体" w:hAnsi="宋体"/>
        </w:rPr>
        <w:tab/>
      </w:r>
      <w:r>
        <w:rPr>
          <w:rFonts w:ascii="宋体" w:hAnsi="宋体"/>
        </w:rPr>
        <w:fldChar w:fldCharType="begin"/>
      </w:r>
      <w:r>
        <w:rPr>
          <w:rFonts w:ascii="宋体" w:hAnsi="宋体"/>
        </w:rPr>
        <w:instrText xml:space="preserve"> PAGEREF _Toc511397047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"_Toc511397048" </w:instrText>
      </w:r>
      <w:r>
        <w:fldChar w:fldCharType="separate"/>
      </w:r>
      <w:r>
        <w:rPr>
          <w:rStyle w:val="63"/>
          <w:rFonts w:ascii="宋体" w:hAnsi="宋体"/>
          <w:i w:val="0"/>
        </w:rPr>
        <w:t>12.</w:t>
      </w:r>
      <w:r>
        <w:rPr>
          <w:rStyle w:val="63"/>
          <w:rFonts w:hint="eastAsia" w:ascii="宋体" w:hAnsi="宋体"/>
          <w:i w:val="0"/>
        </w:rPr>
        <w:t>响应文件的组成</w:t>
      </w:r>
      <w:r>
        <w:rPr>
          <w:rFonts w:ascii="宋体" w:hAnsi="宋体"/>
          <w:i w:val="0"/>
        </w:rPr>
        <w:tab/>
      </w:r>
      <w:r>
        <w:rPr>
          <w:rFonts w:ascii="宋体" w:hAnsi="宋体"/>
          <w:i w:val="0"/>
        </w:rPr>
        <w:fldChar w:fldCharType="begin"/>
      </w:r>
      <w:r>
        <w:rPr>
          <w:rFonts w:ascii="宋体" w:hAnsi="宋体"/>
          <w:i w:val="0"/>
        </w:rPr>
        <w:instrText xml:space="preserve"> PAGEREF _Toc511397048 \h </w:instrText>
      </w:r>
      <w:r>
        <w:rPr>
          <w:rFonts w:ascii="宋体" w:hAnsi="宋体"/>
          <w:i w:val="0"/>
        </w:rPr>
        <w:fldChar w:fldCharType="separate"/>
      </w:r>
      <w:r>
        <w:rPr>
          <w:rFonts w:ascii="宋体" w:hAnsi="宋体"/>
          <w:i w:val="0"/>
        </w:rPr>
        <w:t>8</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"_Toc511397049" </w:instrText>
      </w:r>
      <w:r>
        <w:fldChar w:fldCharType="separate"/>
      </w:r>
      <w:r>
        <w:rPr>
          <w:rStyle w:val="63"/>
          <w:rFonts w:ascii="宋体" w:hAnsi="宋体"/>
          <w:i w:val="0"/>
        </w:rPr>
        <w:t>13.</w:t>
      </w:r>
      <w:r>
        <w:rPr>
          <w:rStyle w:val="63"/>
          <w:rFonts w:hint="eastAsia" w:ascii="宋体" w:hAnsi="宋体"/>
          <w:i w:val="0"/>
        </w:rPr>
        <w:t>响应文件格式</w:t>
      </w:r>
      <w:r>
        <w:rPr>
          <w:rFonts w:ascii="宋体" w:hAnsi="宋体"/>
          <w:i w:val="0"/>
        </w:rPr>
        <w:tab/>
      </w:r>
      <w:r>
        <w:rPr>
          <w:rFonts w:ascii="宋体" w:hAnsi="宋体"/>
          <w:i w:val="0"/>
        </w:rPr>
        <w:fldChar w:fldCharType="begin"/>
      </w:r>
      <w:r>
        <w:rPr>
          <w:rFonts w:ascii="宋体" w:hAnsi="宋体"/>
          <w:i w:val="0"/>
        </w:rPr>
        <w:instrText xml:space="preserve"> PAGEREF _Toc511397049 \h </w:instrText>
      </w:r>
      <w:r>
        <w:rPr>
          <w:rFonts w:ascii="宋体" w:hAnsi="宋体"/>
          <w:i w:val="0"/>
        </w:rPr>
        <w:fldChar w:fldCharType="separate"/>
      </w:r>
      <w:r>
        <w:rPr>
          <w:rFonts w:ascii="宋体" w:hAnsi="宋体"/>
          <w:i w:val="0"/>
        </w:rPr>
        <w:t>11</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"_Toc511397050" </w:instrText>
      </w:r>
      <w:r>
        <w:fldChar w:fldCharType="separate"/>
      </w:r>
      <w:r>
        <w:rPr>
          <w:rStyle w:val="63"/>
          <w:rFonts w:ascii="宋体" w:hAnsi="宋体"/>
          <w:i w:val="0"/>
        </w:rPr>
        <w:t>14.</w:t>
      </w:r>
      <w:r>
        <w:rPr>
          <w:rStyle w:val="63"/>
          <w:rFonts w:hint="eastAsia" w:ascii="宋体" w:hAnsi="宋体"/>
          <w:i w:val="0"/>
        </w:rPr>
        <w:t>报价说明</w:t>
      </w:r>
      <w:r>
        <w:rPr>
          <w:rFonts w:ascii="宋体" w:hAnsi="宋体"/>
          <w:i w:val="0"/>
        </w:rPr>
        <w:tab/>
      </w:r>
      <w:r>
        <w:rPr>
          <w:rFonts w:ascii="宋体" w:hAnsi="宋体"/>
          <w:i w:val="0"/>
        </w:rPr>
        <w:fldChar w:fldCharType="begin"/>
      </w:r>
      <w:r>
        <w:rPr>
          <w:rFonts w:ascii="宋体" w:hAnsi="宋体"/>
          <w:i w:val="0"/>
        </w:rPr>
        <w:instrText xml:space="preserve"> PAGEREF _Toc511397050 \h </w:instrText>
      </w:r>
      <w:r>
        <w:rPr>
          <w:rFonts w:ascii="宋体" w:hAnsi="宋体"/>
          <w:i w:val="0"/>
        </w:rPr>
        <w:fldChar w:fldCharType="separate"/>
      </w:r>
      <w:r>
        <w:rPr>
          <w:rFonts w:ascii="宋体" w:hAnsi="宋体"/>
          <w:i w:val="0"/>
        </w:rPr>
        <w:t>11</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"_Toc511397051" </w:instrText>
      </w:r>
      <w:r>
        <w:fldChar w:fldCharType="separate"/>
      </w:r>
      <w:r>
        <w:rPr>
          <w:rStyle w:val="63"/>
          <w:rFonts w:ascii="宋体" w:hAnsi="宋体"/>
          <w:i w:val="0"/>
        </w:rPr>
        <w:t>15.</w:t>
      </w:r>
      <w:r>
        <w:rPr>
          <w:rStyle w:val="63"/>
          <w:rFonts w:hint="eastAsia" w:ascii="宋体" w:hAnsi="宋体"/>
          <w:i w:val="0"/>
        </w:rPr>
        <w:t>响应文件份数和签署</w:t>
      </w:r>
      <w:r>
        <w:rPr>
          <w:rFonts w:ascii="宋体" w:hAnsi="宋体"/>
          <w:i w:val="0"/>
        </w:rPr>
        <w:tab/>
      </w:r>
      <w:r>
        <w:rPr>
          <w:rFonts w:ascii="宋体" w:hAnsi="宋体"/>
          <w:i w:val="0"/>
        </w:rPr>
        <w:fldChar w:fldCharType="begin"/>
      </w:r>
      <w:r>
        <w:rPr>
          <w:rFonts w:ascii="宋体" w:hAnsi="宋体"/>
          <w:i w:val="0"/>
        </w:rPr>
        <w:instrText xml:space="preserve"> PAGEREF _Toc511397051 \h </w:instrText>
      </w:r>
      <w:r>
        <w:rPr>
          <w:rFonts w:ascii="宋体" w:hAnsi="宋体"/>
          <w:i w:val="0"/>
        </w:rPr>
        <w:fldChar w:fldCharType="separate"/>
      </w:r>
      <w:r>
        <w:rPr>
          <w:rFonts w:ascii="宋体" w:hAnsi="宋体"/>
          <w:i w:val="0"/>
        </w:rPr>
        <w:t>11</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"_Toc511397052" </w:instrText>
      </w:r>
      <w:r>
        <w:fldChar w:fldCharType="separate"/>
      </w:r>
      <w:r>
        <w:rPr>
          <w:rStyle w:val="63"/>
          <w:rFonts w:ascii="宋体" w:hAnsi="宋体"/>
          <w:i w:val="0"/>
        </w:rPr>
        <w:t>16.</w:t>
      </w:r>
      <w:r>
        <w:rPr>
          <w:rStyle w:val="63"/>
          <w:rFonts w:hint="eastAsia" w:ascii="宋体" w:hAnsi="宋体"/>
          <w:i w:val="0"/>
        </w:rPr>
        <w:t>响应文件的密封和标记（格式见附件）</w:t>
      </w:r>
      <w:r>
        <w:rPr>
          <w:rFonts w:ascii="宋体" w:hAnsi="宋体"/>
          <w:i w:val="0"/>
        </w:rPr>
        <w:tab/>
      </w:r>
      <w:r>
        <w:rPr>
          <w:rFonts w:ascii="宋体" w:hAnsi="宋体"/>
          <w:i w:val="0"/>
        </w:rPr>
        <w:fldChar w:fldCharType="begin"/>
      </w:r>
      <w:r>
        <w:rPr>
          <w:rFonts w:ascii="宋体" w:hAnsi="宋体"/>
          <w:i w:val="0"/>
        </w:rPr>
        <w:instrText xml:space="preserve"> PAGEREF _Toc511397052 \h </w:instrText>
      </w:r>
      <w:r>
        <w:rPr>
          <w:rFonts w:ascii="宋体" w:hAnsi="宋体"/>
          <w:i w:val="0"/>
        </w:rPr>
        <w:fldChar w:fldCharType="separate"/>
      </w:r>
      <w:r>
        <w:rPr>
          <w:rFonts w:ascii="宋体" w:hAnsi="宋体"/>
          <w:i w:val="0"/>
        </w:rPr>
        <w:t>12</w:t>
      </w:r>
      <w:r>
        <w:rPr>
          <w:rFonts w:ascii="宋体" w:hAnsi="宋体"/>
          <w:i w:val="0"/>
        </w:rPr>
        <w:fldChar w:fldCharType="end"/>
      </w:r>
      <w:r>
        <w:rPr>
          <w:rFonts w:ascii="宋体" w:hAnsi="宋体"/>
          <w:i w:val="0"/>
        </w:rPr>
        <w:fldChar w:fldCharType="end"/>
      </w:r>
    </w:p>
    <w:p>
      <w:pPr>
        <w:pStyle w:val="49"/>
        <w:tabs>
          <w:tab w:val="right" w:leader="dot" w:pos="8296"/>
        </w:tabs>
        <w:spacing w:line="260" w:lineRule="exact"/>
        <w:rPr>
          <w:rFonts w:ascii="宋体" w:hAnsi="宋体"/>
          <w:smallCaps w:val="0"/>
          <w:sz w:val="21"/>
          <w:szCs w:val="22"/>
        </w:rPr>
      </w:pPr>
      <w:r>
        <w:fldChar w:fldCharType="begin"/>
      </w:r>
      <w:r>
        <w:instrText xml:space="preserve"> HYPERLINK \l "_Toc511397053" </w:instrText>
      </w:r>
      <w:r>
        <w:fldChar w:fldCharType="separate"/>
      </w:r>
      <w:r>
        <w:rPr>
          <w:rStyle w:val="63"/>
          <w:rFonts w:hint="eastAsia" w:ascii="宋体" w:hAnsi="宋体"/>
        </w:rPr>
        <w:t>四、响应文件的递交</w:t>
      </w:r>
      <w:r>
        <w:rPr>
          <w:rFonts w:ascii="宋体" w:hAnsi="宋体"/>
        </w:rPr>
        <w:tab/>
      </w:r>
      <w:r>
        <w:rPr>
          <w:rFonts w:ascii="宋体" w:hAnsi="宋体"/>
        </w:rPr>
        <w:fldChar w:fldCharType="begin"/>
      </w:r>
      <w:r>
        <w:rPr>
          <w:rFonts w:ascii="宋体" w:hAnsi="宋体"/>
        </w:rPr>
        <w:instrText xml:space="preserve"> PAGEREF _Toc511397053 \h </w:instrText>
      </w:r>
      <w:r>
        <w:rPr>
          <w:rFonts w:ascii="宋体" w:hAnsi="宋体"/>
        </w:rPr>
        <w:fldChar w:fldCharType="separate"/>
      </w:r>
      <w:r>
        <w:rPr>
          <w:rFonts w:ascii="宋体" w:hAnsi="宋体"/>
        </w:rPr>
        <w:t>12</w:t>
      </w:r>
      <w:r>
        <w:rPr>
          <w:rFonts w:ascii="宋体" w:hAnsi="宋体"/>
        </w:rPr>
        <w:fldChar w:fldCharType="end"/>
      </w:r>
      <w:r>
        <w:rPr>
          <w:rFonts w:ascii="宋体" w:hAnsi="宋体"/>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"_Toc511397054" </w:instrText>
      </w:r>
      <w:r>
        <w:fldChar w:fldCharType="separate"/>
      </w:r>
      <w:r>
        <w:rPr>
          <w:rStyle w:val="63"/>
          <w:rFonts w:ascii="宋体" w:hAnsi="宋体"/>
          <w:i w:val="0"/>
        </w:rPr>
        <w:t>17.</w:t>
      </w:r>
      <w:r>
        <w:rPr>
          <w:rStyle w:val="63"/>
          <w:rFonts w:hint="eastAsia" w:ascii="宋体" w:hAnsi="宋体"/>
          <w:i w:val="0"/>
        </w:rPr>
        <w:t>响应文件的递交</w:t>
      </w:r>
      <w:r>
        <w:rPr>
          <w:rFonts w:ascii="宋体" w:hAnsi="宋体"/>
          <w:i w:val="0"/>
        </w:rPr>
        <w:tab/>
      </w:r>
      <w:r>
        <w:rPr>
          <w:rFonts w:ascii="宋体" w:hAnsi="宋体"/>
          <w:i w:val="0"/>
        </w:rPr>
        <w:fldChar w:fldCharType="begin"/>
      </w:r>
      <w:r>
        <w:rPr>
          <w:rFonts w:ascii="宋体" w:hAnsi="宋体"/>
          <w:i w:val="0"/>
        </w:rPr>
        <w:instrText xml:space="preserve"> PAGEREF _Toc511397054 \h </w:instrText>
      </w:r>
      <w:r>
        <w:rPr>
          <w:rFonts w:ascii="宋体" w:hAnsi="宋体"/>
          <w:i w:val="0"/>
        </w:rPr>
        <w:fldChar w:fldCharType="separate"/>
      </w:r>
      <w:r>
        <w:rPr>
          <w:rFonts w:ascii="宋体" w:hAnsi="宋体"/>
          <w:i w:val="0"/>
        </w:rPr>
        <w:t>12</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"_Toc511397055" </w:instrText>
      </w:r>
      <w:r>
        <w:fldChar w:fldCharType="separate"/>
      </w:r>
      <w:r>
        <w:rPr>
          <w:rStyle w:val="63"/>
          <w:rFonts w:ascii="宋体" w:hAnsi="宋体"/>
          <w:i w:val="0"/>
        </w:rPr>
        <w:t>18.</w:t>
      </w:r>
      <w:r>
        <w:rPr>
          <w:rStyle w:val="63"/>
          <w:rFonts w:hint="eastAsia" w:ascii="宋体" w:hAnsi="宋体"/>
          <w:i w:val="0"/>
        </w:rPr>
        <w:t>迟交的响应文件</w:t>
      </w:r>
      <w:r>
        <w:rPr>
          <w:rFonts w:ascii="宋体" w:hAnsi="宋体"/>
          <w:i w:val="0"/>
        </w:rPr>
        <w:tab/>
      </w:r>
      <w:r>
        <w:rPr>
          <w:rFonts w:ascii="宋体" w:hAnsi="宋体"/>
          <w:i w:val="0"/>
        </w:rPr>
        <w:fldChar w:fldCharType="begin"/>
      </w:r>
      <w:r>
        <w:rPr>
          <w:rFonts w:ascii="宋体" w:hAnsi="宋体"/>
          <w:i w:val="0"/>
        </w:rPr>
        <w:instrText xml:space="preserve"> PAGEREF _Toc511397055 \h </w:instrText>
      </w:r>
      <w:r>
        <w:rPr>
          <w:rFonts w:ascii="宋体" w:hAnsi="宋体"/>
          <w:i w:val="0"/>
        </w:rPr>
        <w:fldChar w:fldCharType="separate"/>
      </w:r>
      <w:r>
        <w:rPr>
          <w:rFonts w:ascii="宋体" w:hAnsi="宋体"/>
          <w:i w:val="0"/>
        </w:rPr>
        <w:t>12</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"_Toc511397056" </w:instrText>
      </w:r>
      <w:r>
        <w:fldChar w:fldCharType="separate"/>
      </w:r>
      <w:r>
        <w:rPr>
          <w:rStyle w:val="63"/>
          <w:rFonts w:ascii="宋体" w:hAnsi="宋体"/>
          <w:i w:val="0"/>
        </w:rPr>
        <w:t>19.</w:t>
      </w:r>
      <w:r>
        <w:rPr>
          <w:rStyle w:val="63"/>
          <w:rFonts w:hint="eastAsia" w:ascii="宋体" w:hAnsi="宋体"/>
          <w:i w:val="0"/>
        </w:rPr>
        <w:t>响应文件的补充、修改和撤回</w:t>
      </w:r>
      <w:r>
        <w:rPr>
          <w:rFonts w:ascii="宋体" w:hAnsi="宋体"/>
          <w:i w:val="0"/>
        </w:rPr>
        <w:tab/>
      </w:r>
      <w:r>
        <w:rPr>
          <w:rFonts w:ascii="宋体" w:hAnsi="宋体"/>
          <w:i w:val="0"/>
        </w:rPr>
        <w:fldChar w:fldCharType="begin"/>
      </w:r>
      <w:r>
        <w:rPr>
          <w:rFonts w:ascii="宋体" w:hAnsi="宋体"/>
          <w:i w:val="0"/>
        </w:rPr>
        <w:instrText xml:space="preserve"> PAGEREF _Toc511397056 \h </w:instrText>
      </w:r>
      <w:r>
        <w:rPr>
          <w:rFonts w:ascii="宋体" w:hAnsi="宋体"/>
          <w:i w:val="0"/>
        </w:rPr>
        <w:fldChar w:fldCharType="separate"/>
      </w:r>
      <w:r>
        <w:rPr>
          <w:rFonts w:ascii="宋体" w:hAnsi="宋体"/>
          <w:i w:val="0"/>
        </w:rPr>
        <w:t>13</w:t>
      </w:r>
      <w:r>
        <w:rPr>
          <w:rFonts w:ascii="宋体" w:hAnsi="宋体"/>
          <w:i w:val="0"/>
        </w:rPr>
        <w:fldChar w:fldCharType="end"/>
      </w:r>
      <w:r>
        <w:rPr>
          <w:rFonts w:ascii="宋体" w:hAnsi="宋体"/>
          <w:i w:val="0"/>
        </w:rPr>
        <w:fldChar w:fldCharType="end"/>
      </w:r>
    </w:p>
    <w:p>
      <w:pPr>
        <w:pStyle w:val="49"/>
        <w:tabs>
          <w:tab w:val="right" w:leader="dot" w:pos="8296"/>
        </w:tabs>
        <w:spacing w:line="260" w:lineRule="exact"/>
        <w:rPr>
          <w:rFonts w:ascii="宋体" w:hAnsi="宋体"/>
          <w:smallCaps w:val="0"/>
          <w:sz w:val="21"/>
          <w:szCs w:val="22"/>
        </w:rPr>
      </w:pPr>
      <w:r>
        <w:fldChar w:fldCharType="begin"/>
      </w:r>
      <w:r>
        <w:instrText xml:space="preserve"> HYPERLINK \l "_Toc511397057" </w:instrText>
      </w:r>
      <w:r>
        <w:fldChar w:fldCharType="separate"/>
      </w:r>
      <w:r>
        <w:rPr>
          <w:rStyle w:val="63"/>
          <w:rFonts w:hint="eastAsia" w:ascii="宋体" w:hAnsi="宋体"/>
        </w:rPr>
        <w:t>五、公开报价、评审与成交</w:t>
      </w:r>
      <w:r>
        <w:rPr>
          <w:rFonts w:ascii="宋体" w:hAnsi="宋体"/>
        </w:rPr>
        <w:tab/>
      </w:r>
      <w:r>
        <w:rPr>
          <w:rFonts w:ascii="宋体" w:hAnsi="宋体"/>
        </w:rPr>
        <w:fldChar w:fldCharType="begin"/>
      </w:r>
      <w:r>
        <w:rPr>
          <w:rFonts w:ascii="宋体" w:hAnsi="宋体"/>
        </w:rPr>
        <w:instrText xml:space="preserve"> PAGEREF _Toc511397057 \h </w:instrText>
      </w:r>
      <w:r>
        <w:rPr>
          <w:rFonts w:ascii="宋体" w:hAnsi="宋体"/>
        </w:rPr>
        <w:fldChar w:fldCharType="separate"/>
      </w:r>
      <w:r>
        <w:rPr>
          <w:rFonts w:ascii="宋体" w:hAnsi="宋体"/>
        </w:rPr>
        <w:t>13</w:t>
      </w:r>
      <w:r>
        <w:rPr>
          <w:rFonts w:ascii="宋体" w:hAnsi="宋体"/>
        </w:rPr>
        <w:fldChar w:fldCharType="end"/>
      </w:r>
      <w:r>
        <w:rPr>
          <w:rFonts w:ascii="宋体" w:hAnsi="宋体"/>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"_Toc511397058" </w:instrText>
      </w:r>
      <w:r>
        <w:fldChar w:fldCharType="separate"/>
      </w:r>
      <w:r>
        <w:rPr>
          <w:rStyle w:val="63"/>
          <w:rFonts w:ascii="宋体" w:hAnsi="宋体"/>
          <w:i w:val="0"/>
        </w:rPr>
        <w:t>20.</w:t>
      </w:r>
      <w:r>
        <w:rPr>
          <w:rStyle w:val="63"/>
          <w:rFonts w:hint="eastAsia" w:ascii="宋体" w:hAnsi="宋体"/>
          <w:i w:val="0"/>
        </w:rPr>
        <w:t>公开报价</w:t>
      </w:r>
      <w:r>
        <w:rPr>
          <w:rFonts w:ascii="宋体" w:hAnsi="宋体"/>
          <w:i w:val="0"/>
        </w:rPr>
        <w:tab/>
      </w:r>
      <w:r>
        <w:rPr>
          <w:rFonts w:ascii="宋体" w:hAnsi="宋体"/>
          <w:i w:val="0"/>
        </w:rPr>
        <w:fldChar w:fldCharType="begin"/>
      </w:r>
      <w:r>
        <w:rPr>
          <w:rFonts w:ascii="宋体" w:hAnsi="宋体"/>
          <w:i w:val="0"/>
        </w:rPr>
        <w:instrText xml:space="preserve"> PAGEREF _Toc511397058 \h </w:instrText>
      </w:r>
      <w:r>
        <w:rPr>
          <w:rFonts w:ascii="宋体" w:hAnsi="宋体"/>
          <w:i w:val="0"/>
        </w:rPr>
        <w:fldChar w:fldCharType="separate"/>
      </w:r>
      <w:r>
        <w:rPr>
          <w:rFonts w:ascii="宋体" w:hAnsi="宋体"/>
          <w:i w:val="0"/>
        </w:rPr>
        <w:t>13</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"_Toc511397059" </w:instrText>
      </w:r>
      <w:r>
        <w:fldChar w:fldCharType="separate"/>
      </w:r>
      <w:r>
        <w:rPr>
          <w:rStyle w:val="63"/>
          <w:rFonts w:ascii="宋体" w:hAnsi="宋体"/>
          <w:i w:val="0"/>
        </w:rPr>
        <w:t>21.</w:t>
      </w:r>
      <w:r>
        <w:rPr>
          <w:rStyle w:val="63"/>
          <w:rFonts w:hint="eastAsia" w:ascii="宋体" w:hAnsi="宋体"/>
          <w:i w:val="0"/>
        </w:rPr>
        <w:t>响应文件的有效性</w:t>
      </w:r>
      <w:r>
        <w:rPr>
          <w:rFonts w:ascii="宋体" w:hAnsi="宋体"/>
          <w:i w:val="0"/>
        </w:rPr>
        <w:tab/>
      </w:r>
      <w:r>
        <w:rPr>
          <w:rFonts w:ascii="宋体" w:hAnsi="宋体"/>
          <w:i w:val="0"/>
        </w:rPr>
        <w:fldChar w:fldCharType="begin"/>
      </w:r>
      <w:r>
        <w:rPr>
          <w:rFonts w:ascii="宋体" w:hAnsi="宋体"/>
          <w:i w:val="0"/>
        </w:rPr>
        <w:instrText xml:space="preserve"> PAGEREF _Toc511397059 \h </w:instrText>
      </w:r>
      <w:r>
        <w:rPr>
          <w:rFonts w:ascii="宋体" w:hAnsi="宋体"/>
          <w:i w:val="0"/>
        </w:rPr>
        <w:fldChar w:fldCharType="separate"/>
      </w:r>
      <w:r>
        <w:rPr>
          <w:rFonts w:ascii="宋体" w:hAnsi="宋体"/>
          <w:i w:val="0"/>
        </w:rPr>
        <w:t>13</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"_Toc511397060" </w:instrText>
      </w:r>
      <w:r>
        <w:fldChar w:fldCharType="separate"/>
      </w:r>
      <w:r>
        <w:rPr>
          <w:rStyle w:val="63"/>
          <w:rFonts w:ascii="宋体" w:hAnsi="宋体"/>
          <w:i w:val="0"/>
        </w:rPr>
        <w:t>22.</w:t>
      </w:r>
      <w:r>
        <w:rPr>
          <w:rStyle w:val="63"/>
          <w:rFonts w:hint="eastAsia" w:ascii="宋体" w:hAnsi="宋体"/>
          <w:i w:val="0"/>
        </w:rPr>
        <w:t>磋商小组</w:t>
      </w:r>
      <w:r>
        <w:rPr>
          <w:rFonts w:ascii="宋体" w:hAnsi="宋体"/>
          <w:i w:val="0"/>
        </w:rPr>
        <w:tab/>
      </w:r>
      <w:r>
        <w:rPr>
          <w:rFonts w:ascii="宋体" w:hAnsi="宋体"/>
          <w:i w:val="0"/>
        </w:rPr>
        <w:fldChar w:fldCharType="begin"/>
      </w:r>
      <w:r>
        <w:rPr>
          <w:rFonts w:ascii="宋体" w:hAnsi="宋体"/>
          <w:i w:val="0"/>
        </w:rPr>
        <w:instrText xml:space="preserve"> PAGEREF _Toc511397060 \h </w:instrText>
      </w:r>
      <w:r>
        <w:rPr>
          <w:rFonts w:ascii="宋体" w:hAnsi="宋体"/>
          <w:i w:val="0"/>
        </w:rPr>
        <w:fldChar w:fldCharType="separate"/>
      </w:r>
      <w:r>
        <w:rPr>
          <w:rFonts w:ascii="宋体" w:hAnsi="宋体"/>
          <w:i w:val="0"/>
        </w:rPr>
        <w:t>14</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"_Toc511397061" </w:instrText>
      </w:r>
      <w:r>
        <w:fldChar w:fldCharType="separate"/>
      </w:r>
      <w:r>
        <w:rPr>
          <w:rStyle w:val="63"/>
          <w:rFonts w:ascii="宋体" w:hAnsi="宋体"/>
          <w:i w:val="0"/>
        </w:rPr>
        <w:t>23.</w:t>
      </w:r>
      <w:r>
        <w:rPr>
          <w:rStyle w:val="63"/>
          <w:rFonts w:hint="eastAsia" w:ascii="宋体" w:hAnsi="宋体"/>
          <w:i w:val="0"/>
        </w:rPr>
        <w:t>公开唱价</w:t>
      </w:r>
      <w:r>
        <w:rPr>
          <w:rFonts w:ascii="宋体" w:hAnsi="宋体"/>
          <w:i w:val="0"/>
        </w:rPr>
        <w:tab/>
      </w:r>
      <w:r>
        <w:rPr>
          <w:rFonts w:ascii="宋体" w:hAnsi="宋体"/>
          <w:i w:val="0"/>
        </w:rPr>
        <w:fldChar w:fldCharType="begin"/>
      </w:r>
      <w:r>
        <w:rPr>
          <w:rFonts w:ascii="宋体" w:hAnsi="宋体"/>
          <w:i w:val="0"/>
        </w:rPr>
        <w:instrText xml:space="preserve"> PAGEREF _Toc511397061 \h </w:instrText>
      </w:r>
      <w:r>
        <w:rPr>
          <w:rFonts w:ascii="宋体" w:hAnsi="宋体"/>
          <w:i w:val="0"/>
        </w:rPr>
        <w:fldChar w:fldCharType="separate"/>
      </w:r>
      <w:r>
        <w:rPr>
          <w:rFonts w:ascii="宋体" w:hAnsi="宋体"/>
          <w:i w:val="0"/>
        </w:rPr>
        <w:t>14</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"_Toc511397062" </w:instrText>
      </w:r>
      <w:r>
        <w:fldChar w:fldCharType="separate"/>
      </w:r>
      <w:r>
        <w:rPr>
          <w:rStyle w:val="63"/>
          <w:rFonts w:ascii="宋体" w:hAnsi="宋体"/>
          <w:i w:val="0"/>
        </w:rPr>
        <w:t>24.</w:t>
      </w:r>
      <w:r>
        <w:rPr>
          <w:rStyle w:val="63"/>
          <w:rFonts w:hint="eastAsia" w:ascii="宋体" w:hAnsi="宋体"/>
          <w:i w:val="0"/>
        </w:rPr>
        <w:t>评审原则</w:t>
      </w:r>
      <w:r>
        <w:rPr>
          <w:rFonts w:ascii="宋体" w:hAnsi="宋体"/>
          <w:i w:val="0"/>
        </w:rPr>
        <w:tab/>
      </w:r>
      <w:r>
        <w:rPr>
          <w:rFonts w:ascii="宋体" w:hAnsi="宋体"/>
          <w:i w:val="0"/>
        </w:rPr>
        <w:fldChar w:fldCharType="begin"/>
      </w:r>
      <w:r>
        <w:rPr>
          <w:rFonts w:ascii="宋体" w:hAnsi="宋体"/>
          <w:i w:val="0"/>
        </w:rPr>
        <w:instrText xml:space="preserve"> PAGEREF _Toc511397062 \h </w:instrText>
      </w:r>
      <w:r>
        <w:rPr>
          <w:rFonts w:ascii="宋体" w:hAnsi="宋体"/>
          <w:i w:val="0"/>
        </w:rPr>
        <w:fldChar w:fldCharType="separate"/>
      </w:r>
      <w:r>
        <w:rPr>
          <w:rFonts w:ascii="宋体" w:hAnsi="宋体"/>
          <w:i w:val="0"/>
        </w:rPr>
        <w:t>14</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"_Toc511397063" </w:instrText>
      </w:r>
      <w:r>
        <w:fldChar w:fldCharType="separate"/>
      </w:r>
      <w:r>
        <w:rPr>
          <w:rStyle w:val="63"/>
          <w:rFonts w:ascii="宋体" w:hAnsi="宋体"/>
          <w:i w:val="0"/>
        </w:rPr>
        <w:t>25.</w:t>
      </w:r>
      <w:r>
        <w:rPr>
          <w:rStyle w:val="63"/>
          <w:rFonts w:hint="eastAsia" w:ascii="宋体" w:hAnsi="宋体"/>
          <w:i w:val="0"/>
        </w:rPr>
        <w:t>评审</w:t>
      </w:r>
      <w:r>
        <w:rPr>
          <w:rFonts w:ascii="宋体" w:hAnsi="宋体"/>
          <w:i w:val="0"/>
        </w:rPr>
        <w:tab/>
      </w:r>
      <w:r>
        <w:rPr>
          <w:rFonts w:ascii="宋体" w:hAnsi="宋体"/>
          <w:i w:val="0"/>
        </w:rPr>
        <w:fldChar w:fldCharType="begin"/>
      </w:r>
      <w:r>
        <w:rPr>
          <w:rFonts w:ascii="宋体" w:hAnsi="宋体"/>
          <w:i w:val="0"/>
        </w:rPr>
        <w:instrText xml:space="preserve"> PAGEREF _Toc511397063 \h </w:instrText>
      </w:r>
      <w:r>
        <w:rPr>
          <w:rFonts w:ascii="宋体" w:hAnsi="宋体"/>
          <w:i w:val="0"/>
        </w:rPr>
        <w:fldChar w:fldCharType="separate"/>
      </w:r>
      <w:r>
        <w:rPr>
          <w:rFonts w:ascii="宋体" w:hAnsi="宋体"/>
          <w:i w:val="0"/>
        </w:rPr>
        <w:t>14</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"_Toc511397064" </w:instrText>
      </w:r>
      <w:r>
        <w:fldChar w:fldCharType="separate"/>
      </w:r>
      <w:r>
        <w:rPr>
          <w:rStyle w:val="63"/>
          <w:rFonts w:ascii="宋体" w:hAnsi="宋体"/>
          <w:i w:val="0"/>
        </w:rPr>
        <w:t>26.</w:t>
      </w:r>
      <w:r>
        <w:rPr>
          <w:rStyle w:val="63"/>
          <w:rFonts w:hint="eastAsia" w:ascii="宋体" w:hAnsi="宋体"/>
          <w:i w:val="0"/>
        </w:rPr>
        <w:t>评审方法</w:t>
      </w:r>
      <w:r>
        <w:rPr>
          <w:rStyle w:val="63"/>
          <w:rFonts w:ascii="宋体" w:hAnsi="宋体"/>
          <w:i w:val="0"/>
        </w:rPr>
        <w:t>:</w:t>
      </w:r>
      <w:r>
        <w:rPr>
          <w:rFonts w:ascii="宋体" w:hAnsi="宋体"/>
          <w:i w:val="0"/>
        </w:rPr>
        <w:tab/>
      </w:r>
      <w:r>
        <w:rPr>
          <w:rFonts w:ascii="宋体" w:hAnsi="宋体"/>
          <w:i w:val="0"/>
        </w:rPr>
        <w:fldChar w:fldCharType="begin"/>
      </w:r>
      <w:r>
        <w:rPr>
          <w:rFonts w:ascii="宋体" w:hAnsi="宋体"/>
          <w:i w:val="0"/>
        </w:rPr>
        <w:instrText xml:space="preserve"> PAGEREF _Toc511397064 \h </w:instrText>
      </w:r>
      <w:r>
        <w:rPr>
          <w:rFonts w:ascii="宋体" w:hAnsi="宋体"/>
          <w:i w:val="0"/>
        </w:rPr>
        <w:fldChar w:fldCharType="separate"/>
      </w:r>
      <w:r>
        <w:rPr>
          <w:rFonts w:ascii="宋体" w:hAnsi="宋体"/>
          <w:i w:val="0"/>
        </w:rPr>
        <w:t>16</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"_Toc511397065" </w:instrText>
      </w:r>
      <w:r>
        <w:fldChar w:fldCharType="separate"/>
      </w:r>
      <w:r>
        <w:rPr>
          <w:rStyle w:val="63"/>
          <w:rFonts w:ascii="宋体" w:hAnsi="宋体"/>
          <w:i w:val="0"/>
        </w:rPr>
        <w:t>27.</w:t>
      </w:r>
      <w:r>
        <w:rPr>
          <w:rStyle w:val="63"/>
          <w:rFonts w:hint="eastAsia" w:ascii="宋体" w:hAnsi="宋体"/>
          <w:i w:val="0"/>
        </w:rPr>
        <w:t>特殊情况下的评审方法</w:t>
      </w:r>
      <w:r>
        <w:rPr>
          <w:rFonts w:ascii="宋体" w:hAnsi="宋体"/>
          <w:i w:val="0"/>
        </w:rPr>
        <w:tab/>
      </w:r>
      <w:r>
        <w:rPr>
          <w:rFonts w:ascii="宋体" w:hAnsi="宋体"/>
          <w:i w:val="0"/>
        </w:rPr>
        <w:fldChar w:fldCharType="begin"/>
      </w:r>
      <w:r>
        <w:rPr>
          <w:rFonts w:ascii="宋体" w:hAnsi="宋体"/>
          <w:i w:val="0"/>
        </w:rPr>
        <w:instrText xml:space="preserve"> PAGEREF _Toc511397065 \h </w:instrText>
      </w:r>
      <w:r>
        <w:rPr>
          <w:rFonts w:ascii="宋体" w:hAnsi="宋体"/>
          <w:i w:val="0"/>
        </w:rPr>
        <w:fldChar w:fldCharType="separate"/>
      </w:r>
      <w:r>
        <w:rPr>
          <w:rFonts w:ascii="宋体" w:hAnsi="宋体"/>
          <w:i w:val="0"/>
        </w:rPr>
        <w:t>20</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"_Toc511397066" </w:instrText>
      </w:r>
      <w:r>
        <w:fldChar w:fldCharType="separate"/>
      </w:r>
      <w:r>
        <w:rPr>
          <w:rStyle w:val="63"/>
          <w:rFonts w:ascii="宋体" w:hAnsi="宋体"/>
          <w:i w:val="0"/>
        </w:rPr>
        <w:t>28.</w:t>
      </w:r>
      <w:r>
        <w:rPr>
          <w:rStyle w:val="63"/>
          <w:rFonts w:hint="eastAsia" w:ascii="宋体" w:hAnsi="宋体"/>
          <w:i w:val="0"/>
        </w:rPr>
        <w:t>特别说明</w:t>
      </w:r>
      <w:r>
        <w:rPr>
          <w:rFonts w:ascii="宋体" w:hAnsi="宋体"/>
          <w:i w:val="0"/>
        </w:rPr>
        <w:tab/>
      </w:r>
      <w:r>
        <w:rPr>
          <w:rFonts w:ascii="宋体" w:hAnsi="宋体"/>
          <w:i w:val="0"/>
        </w:rPr>
        <w:fldChar w:fldCharType="begin"/>
      </w:r>
      <w:r>
        <w:rPr>
          <w:rFonts w:ascii="宋体" w:hAnsi="宋体"/>
          <w:i w:val="0"/>
        </w:rPr>
        <w:instrText xml:space="preserve"> PAGEREF _Toc511397066 \h </w:instrText>
      </w:r>
      <w:r>
        <w:rPr>
          <w:rFonts w:ascii="宋体" w:hAnsi="宋体"/>
          <w:i w:val="0"/>
        </w:rPr>
        <w:fldChar w:fldCharType="separate"/>
      </w:r>
      <w:r>
        <w:rPr>
          <w:rFonts w:ascii="宋体" w:hAnsi="宋体"/>
          <w:i w:val="0"/>
        </w:rPr>
        <w:t>21</w:t>
      </w:r>
      <w:r>
        <w:rPr>
          <w:rFonts w:ascii="宋体" w:hAnsi="宋体"/>
          <w:i w:val="0"/>
        </w:rPr>
        <w:fldChar w:fldCharType="end"/>
      </w:r>
      <w:r>
        <w:rPr>
          <w:rFonts w:ascii="宋体" w:hAnsi="宋体"/>
          <w:i w:val="0"/>
        </w:rPr>
        <w:fldChar w:fldCharType="end"/>
      </w:r>
    </w:p>
    <w:p>
      <w:pPr>
        <w:pStyle w:val="49"/>
        <w:tabs>
          <w:tab w:val="right" w:leader="dot" w:pos="8296"/>
        </w:tabs>
        <w:spacing w:line="260" w:lineRule="exact"/>
        <w:rPr>
          <w:rFonts w:ascii="宋体" w:hAnsi="宋体"/>
          <w:smallCaps w:val="0"/>
          <w:sz w:val="21"/>
          <w:szCs w:val="22"/>
        </w:rPr>
      </w:pPr>
      <w:r>
        <w:fldChar w:fldCharType="begin"/>
      </w:r>
      <w:r>
        <w:instrText xml:space="preserve"> HYPERLINK \l "_Toc511397067" </w:instrText>
      </w:r>
      <w:r>
        <w:fldChar w:fldCharType="separate"/>
      </w:r>
      <w:r>
        <w:rPr>
          <w:rStyle w:val="63"/>
          <w:rFonts w:hint="eastAsia" w:ascii="宋体" w:hAnsi="宋体"/>
        </w:rPr>
        <w:t>六、合同的授予</w:t>
      </w:r>
      <w:r>
        <w:rPr>
          <w:rFonts w:ascii="宋体" w:hAnsi="宋体"/>
        </w:rPr>
        <w:tab/>
      </w:r>
      <w:r>
        <w:rPr>
          <w:rFonts w:ascii="宋体" w:hAnsi="宋体"/>
        </w:rPr>
        <w:fldChar w:fldCharType="begin"/>
      </w:r>
      <w:r>
        <w:rPr>
          <w:rFonts w:ascii="宋体" w:hAnsi="宋体"/>
        </w:rPr>
        <w:instrText xml:space="preserve"> PAGEREF _Toc511397067 \h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"_Toc511397068" </w:instrText>
      </w:r>
      <w:r>
        <w:fldChar w:fldCharType="separate"/>
      </w:r>
      <w:r>
        <w:rPr>
          <w:rStyle w:val="63"/>
          <w:rFonts w:ascii="宋体" w:hAnsi="宋体"/>
          <w:i w:val="0"/>
        </w:rPr>
        <w:t>29.</w:t>
      </w:r>
      <w:r>
        <w:rPr>
          <w:rStyle w:val="63"/>
          <w:rFonts w:hint="eastAsia" w:ascii="宋体" w:hAnsi="宋体"/>
          <w:i w:val="0"/>
        </w:rPr>
        <w:t>合同授予标准</w:t>
      </w:r>
      <w:r>
        <w:rPr>
          <w:rFonts w:ascii="宋体" w:hAnsi="宋体"/>
          <w:i w:val="0"/>
        </w:rPr>
        <w:tab/>
      </w:r>
      <w:r>
        <w:rPr>
          <w:rFonts w:ascii="宋体" w:hAnsi="宋体"/>
          <w:i w:val="0"/>
        </w:rPr>
        <w:fldChar w:fldCharType="begin"/>
      </w:r>
      <w:r>
        <w:rPr>
          <w:rFonts w:ascii="宋体" w:hAnsi="宋体"/>
          <w:i w:val="0"/>
        </w:rPr>
        <w:instrText xml:space="preserve"> PAGEREF _Toc511397068 \h </w:instrText>
      </w:r>
      <w:r>
        <w:rPr>
          <w:rFonts w:ascii="宋体" w:hAnsi="宋体"/>
          <w:i w:val="0"/>
        </w:rPr>
        <w:fldChar w:fldCharType="separate"/>
      </w:r>
      <w:r>
        <w:rPr>
          <w:rFonts w:ascii="宋体" w:hAnsi="宋体"/>
          <w:i w:val="0"/>
        </w:rPr>
        <w:t>21</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"_Toc511397069" </w:instrText>
      </w:r>
      <w:r>
        <w:fldChar w:fldCharType="separate"/>
      </w:r>
      <w:r>
        <w:rPr>
          <w:rStyle w:val="63"/>
          <w:rFonts w:ascii="宋体" w:hAnsi="宋体"/>
          <w:i w:val="0"/>
        </w:rPr>
        <w:t>30.</w:t>
      </w:r>
      <w:r>
        <w:rPr>
          <w:rStyle w:val="63"/>
          <w:rFonts w:hint="eastAsia" w:ascii="宋体" w:hAnsi="宋体"/>
          <w:i w:val="0"/>
        </w:rPr>
        <w:t>成交通知书</w:t>
      </w:r>
      <w:r>
        <w:rPr>
          <w:rFonts w:ascii="宋体" w:hAnsi="宋体"/>
          <w:i w:val="0"/>
        </w:rPr>
        <w:tab/>
      </w:r>
      <w:r>
        <w:rPr>
          <w:rFonts w:ascii="宋体" w:hAnsi="宋体"/>
          <w:i w:val="0"/>
        </w:rPr>
        <w:fldChar w:fldCharType="begin"/>
      </w:r>
      <w:r>
        <w:rPr>
          <w:rFonts w:ascii="宋体" w:hAnsi="宋体"/>
          <w:i w:val="0"/>
        </w:rPr>
        <w:instrText xml:space="preserve"> PAGEREF _Toc511397069 \h </w:instrText>
      </w:r>
      <w:r>
        <w:rPr>
          <w:rFonts w:ascii="宋体" w:hAnsi="宋体"/>
          <w:i w:val="0"/>
        </w:rPr>
        <w:fldChar w:fldCharType="separate"/>
      </w:r>
      <w:r>
        <w:rPr>
          <w:rFonts w:ascii="宋体" w:hAnsi="宋体"/>
          <w:i w:val="0"/>
        </w:rPr>
        <w:t>21</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"_Toc511397070" </w:instrText>
      </w:r>
      <w:r>
        <w:fldChar w:fldCharType="separate"/>
      </w:r>
      <w:r>
        <w:rPr>
          <w:rStyle w:val="63"/>
          <w:rFonts w:ascii="宋体" w:hAnsi="宋体"/>
          <w:i w:val="0"/>
        </w:rPr>
        <w:t>31.</w:t>
      </w:r>
      <w:r>
        <w:rPr>
          <w:rStyle w:val="63"/>
          <w:rFonts w:hint="eastAsia" w:ascii="宋体" w:hAnsi="宋体"/>
          <w:i w:val="0"/>
        </w:rPr>
        <w:t>签订合同</w:t>
      </w:r>
      <w:r>
        <w:rPr>
          <w:rFonts w:ascii="宋体" w:hAnsi="宋体"/>
          <w:i w:val="0"/>
        </w:rPr>
        <w:tab/>
      </w:r>
      <w:r>
        <w:rPr>
          <w:rFonts w:ascii="宋体" w:hAnsi="宋体"/>
          <w:i w:val="0"/>
        </w:rPr>
        <w:fldChar w:fldCharType="begin"/>
      </w:r>
      <w:r>
        <w:rPr>
          <w:rFonts w:ascii="宋体" w:hAnsi="宋体"/>
          <w:i w:val="0"/>
        </w:rPr>
        <w:instrText xml:space="preserve"> PAGEREF _Toc511397070 \h </w:instrText>
      </w:r>
      <w:r>
        <w:rPr>
          <w:rFonts w:ascii="宋体" w:hAnsi="宋体"/>
          <w:i w:val="0"/>
        </w:rPr>
        <w:fldChar w:fldCharType="separate"/>
      </w:r>
      <w:r>
        <w:rPr>
          <w:rFonts w:ascii="宋体" w:hAnsi="宋体"/>
          <w:i w:val="0"/>
        </w:rPr>
        <w:t>21</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"_Toc511397071" </w:instrText>
      </w:r>
      <w:r>
        <w:fldChar w:fldCharType="separate"/>
      </w:r>
      <w:r>
        <w:rPr>
          <w:rStyle w:val="63"/>
          <w:rFonts w:ascii="宋体" w:hAnsi="宋体"/>
          <w:i w:val="0"/>
        </w:rPr>
        <w:t>32.</w:t>
      </w:r>
      <w:r>
        <w:rPr>
          <w:rStyle w:val="63"/>
          <w:rFonts w:hint="eastAsia" w:ascii="宋体" w:hAnsi="宋体"/>
          <w:i w:val="0"/>
        </w:rPr>
        <w:t>成交服务费</w:t>
      </w:r>
      <w:r>
        <w:rPr>
          <w:rFonts w:ascii="宋体" w:hAnsi="宋体"/>
          <w:i w:val="0"/>
        </w:rPr>
        <w:tab/>
      </w:r>
      <w:r>
        <w:rPr>
          <w:rFonts w:ascii="宋体" w:hAnsi="宋体"/>
          <w:i w:val="0"/>
        </w:rPr>
        <w:fldChar w:fldCharType="begin"/>
      </w:r>
      <w:r>
        <w:rPr>
          <w:rFonts w:ascii="宋体" w:hAnsi="宋体"/>
          <w:i w:val="0"/>
        </w:rPr>
        <w:instrText xml:space="preserve"> PAGEREF _Toc511397071 \h </w:instrText>
      </w:r>
      <w:r>
        <w:rPr>
          <w:rFonts w:ascii="宋体" w:hAnsi="宋体"/>
          <w:i w:val="0"/>
        </w:rPr>
        <w:fldChar w:fldCharType="separate"/>
      </w:r>
      <w:r>
        <w:rPr>
          <w:rFonts w:ascii="宋体" w:hAnsi="宋体"/>
          <w:i w:val="0"/>
        </w:rPr>
        <w:t>21</w:t>
      </w:r>
      <w:r>
        <w:rPr>
          <w:rFonts w:ascii="宋体" w:hAnsi="宋体"/>
          <w:i w:val="0"/>
        </w:rPr>
        <w:fldChar w:fldCharType="end"/>
      </w:r>
      <w:r>
        <w:rPr>
          <w:rFonts w:ascii="宋体" w:hAnsi="宋体"/>
          <w:i w:val="0"/>
        </w:rPr>
        <w:fldChar w:fldCharType="end"/>
      </w:r>
    </w:p>
    <w:p>
      <w:pPr>
        <w:pStyle w:val="30"/>
        <w:tabs>
          <w:tab w:val="right" w:leader="dot" w:pos="8296"/>
        </w:tabs>
        <w:spacing w:line="260" w:lineRule="exact"/>
        <w:rPr>
          <w:rFonts w:ascii="宋体" w:hAnsi="宋体"/>
          <w:i w:val="0"/>
          <w:sz w:val="21"/>
          <w:szCs w:val="22"/>
        </w:rPr>
      </w:pPr>
      <w:r>
        <w:fldChar w:fldCharType="begin"/>
      </w:r>
      <w:r>
        <w:instrText xml:space="preserve"> HYPERLINK \l "_Toc511397072" </w:instrText>
      </w:r>
      <w:r>
        <w:fldChar w:fldCharType="separate"/>
      </w:r>
      <w:r>
        <w:rPr>
          <w:rStyle w:val="63"/>
          <w:rFonts w:ascii="宋体" w:hAnsi="宋体"/>
          <w:i w:val="0"/>
        </w:rPr>
        <w:t>33.</w:t>
      </w:r>
      <w:r>
        <w:rPr>
          <w:rStyle w:val="63"/>
          <w:rFonts w:hint="eastAsia" w:ascii="宋体" w:hAnsi="宋体"/>
          <w:i w:val="0"/>
        </w:rPr>
        <w:t>公证费：</w:t>
      </w:r>
      <w:r>
        <w:rPr>
          <w:rFonts w:ascii="宋体" w:hAnsi="宋体"/>
          <w:i w:val="0"/>
        </w:rPr>
        <w:tab/>
      </w:r>
      <w:r>
        <w:rPr>
          <w:rFonts w:ascii="宋体" w:hAnsi="宋体"/>
          <w:i w:val="0"/>
        </w:rPr>
        <w:fldChar w:fldCharType="begin"/>
      </w:r>
      <w:r>
        <w:rPr>
          <w:rFonts w:ascii="宋体" w:hAnsi="宋体"/>
          <w:i w:val="0"/>
        </w:rPr>
        <w:instrText xml:space="preserve"> PAGEREF _Toc511397072 \h </w:instrText>
      </w:r>
      <w:r>
        <w:rPr>
          <w:rFonts w:ascii="宋体" w:hAnsi="宋体"/>
          <w:i w:val="0"/>
        </w:rPr>
        <w:fldChar w:fldCharType="separate"/>
      </w:r>
      <w:r>
        <w:rPr>
          <w:rFonts w:ascii="宋体" w:hAnsi="宋体"/>
          <w:i w:val="0"/>
        </w:rPr>
        <w:t>21</w:t>
      </w:r>
      <w:r>
        <w:rPr>
          <w:rFonts w:ascii="宋体" w:hAnsi="宋体"/>
          <w:i w:val="0"/>
        </w:rPr>
        <w:fldChar w:fldCharType="end"/>
      </w:r>
      <w:r>
        <w:rPr>
          <w:rFonts w:ascii="宋体" w:hAnsi="宋体"/>
          <w:i w:val="0"/>
        </w:rPr>
        <w:fldChar w:fldCharType="end"/>
      </w:r>
    </w:p>
    <w:p>
      <w:pPr>
        <w:pStyle w:val="39"/>
        <w:tabs>
          <w:tab w:val="right" w:leader="dot" w:pos="8296"/>
        </w:tabs>
        <w:spacing w:line="260" w:lineRule="exact"/>
        <w:rPr>
          <w:rFonts w:ascii="宋体" w:hAnsi="宋体"/>
          <w:b w:val="0"/>
          <w:caps w:val="0"/>
          <w:sz w:val="21"/>
          <w:szCs w:val="22"/>
        </w:rPr>
      </w:pPr>
      <w:r>
        <w:fldChar w:fldCharType="begin"/>
      </w:r>
      <w:r>
        <w:instrText xml:space="preserve"> HYPERLINK \l "_Toc511397073" </w:instrText>
      </w:r>
      <w:r>
        <w:fldChar w:fldCharType="separate"/>
      </w:r>
      <w:r>
        <w:rPr>
          <w:rStyle w:val="63"/>
          <w:rFonts w:hint="eastAsia" w:ascii="宋体" w:hAnsi="宋体"/>
        </w:rPr>
        <w:t>第三章项目说明、技术要求</w:t>
      </w:r>
      <w:r>
        <w:rPr>
          <w:rFonts w:ascii="宋体" w:hAnsi="宋体"/>
        </w:rPr>
        <w:tab/>
      </w:r>
      <w:r>
        <w:rPr>
          <w:rFonts w:ascii="宋体" w:hAnsi="宋体"/>
        </w:rPr>
        <w:fldChar w:fldCharType="begin"/>
      </w:r>
      <w:r>
        <w:rPr>
          <w:rFonts w:ascii="宋体" w:hAnsi="宋体"/>
        </w:rPr>
        <w:instrText xml:space="preserve"> PAGEREF _Toc511397073 \h </w:instrText>
      </w:r>
      <w:r>
        <w:rPr>
          <w:rFonts w:ascii="宋体" w:hAnsi="宋体"/>
        </w:rPr>
        <w:fldChar w:fldCharType="separate"/>
      </w:r>
      <w:r>
        <w:rPr>
          <w:rFonts w:ascii="宋体" w:hAnsi="宋体"/>
        </w:rPr>
        <w:t>22</w:t>
      </w:r>
      <w:r>
        <w:rPr>
          <w:rFonts w:ascii="宋体" w:hAnsi="宋体"/>
        </w:rPr>
        <w:fldChar w:fldCharType="end"/>
      </w:r>
      <w:r>
        <w:rPr>
          <w:rFonts w:ascii="宋体" w:hAnsi="宋体"/>
        </w:rPr>
        <w:fldChar w:fldCharType="end"/>
      </w:r>
    </w:p>
    <w:p>
      <w:pPr>
        <w:pStyle w:val="39"/>
        <w:tabs>
          <w:tab w:val="right" w:leader="dot" w:pos="8296"/>
        </w:tabs>
        <w:spacing w:line="260" w:lineRule="exact"/>
        <w:rPr>
          <w:rFonts w:ascii="宋体" w:hAnsi="宋体"/>
          <w:b w:val="0"/>
          <w:caps w:val="0"/>
          <w:sz w:val="21"/>
          <w:szCs w:val="22"/>
        </w:rPr>
      </w:pPr>
      <w:r>
        <w:fldChar w:fldCharType="begin"/>
      </w:r>
      <w:r>
        <w:instrText xml:space="preserve"> HYPERLINK \l "_Toc511397074" </w:instrText>
      </w:r>
      <w:r>
        <w:fldChar w:fldCharType="separate"/>
      </w:r>
      <w:r>
        <w:rPr>
          <w:rStyle w:val="63"/>
          <w:rFonts w:hint="eastAsia" w:ascii="宋体" w:hAnsi="宋体"/>
        </w:rPr>
        <w:t>第四章授予合同及参考范本</w:t>
      </w:r>
      <w:r>
        <w:rPr>
          <w:rFonts w:ascii="宋体" w:hAnsi="宋体"/>
        </w:rPr>
        <w:tab/>
      </w:r>
      <w:r>
        <w:rPr>
          <w:rFonts w:ascii="宋体" w:hAnsi="宋体"/>
        </w:rPr>
        <w:fldChar w:fldCharType="begin"/>
      </w:r>
      <w:r>
        <w:rPr>
          <w:rFonts w:ascii="宋体" w:hAnsi="宋体"/>
        </w:rPr>
        <w:instrText xml:space="preserve"> PAGEREF _Toc511397074 \h </w:instrText>
      </w:r>
      <w:r>
        <w:rPr>
          <w:rFonts w:ascii="宋体" w:hAnsi="宋体"/>
        </w:rPr>
        <w:fldChar w:fldCharType="separate"/>
      </w:r>
      <w:r>
        <w:rPr>
          <w:rFonts w:ascii="宋体" w:hAnsi="宋体"/>
        </w:rPr>
        <w:t>29</w:t>
      </w:r>
      <w:r>
        <w:rPr>
          <w:rFonts w:ascii="宋体" w:hAnsi="宋体"/>
        </w:rPr>
        <w:fldChar w:fldCharType="end"/>
      </w:r>
      <w:r>
        <w:rPr>
          <w:rFonts w:ascii="宋体" w:hAnsi="宋体"/>
        </w:rPr>
        <w:fldChar w:fldCharType="end"/>
      </w:r>
    </w:p>
    <w:p>
      <w:pPr>
        <w:pStyle w:val="39"/>
        <w:tabs>
          <w:tab w:val="right" w:leader="dot" w:pos="8296"/>
        </w:tabs>
        <w:spacing w:line="260" w:lineRule="exact"/>
        <w:rPr>
          <w:rFonts w:ascii="宋体" w:hAnsi="宋体"/>
          <w:b w:val="0"/>
          <w:caps w:val="0"/>
          <w:sz w:val="21"/>
          <w:szCs w:val="22"/>
        </w:rPr>
      </w:pPr>
      <w:r>
        <w:fldChar w:fldCharType="begin"/>
      </w:r>
      <w:r>
        <w:instrText xml:space="preserve"> HYPERLINK \l "_Toc511397075" </w:instrText>
      </w:r>
      <w:r>
        <w:fldChar w:fldCharType="separate"/>
      </w:r>
      <w:r>
        <w:rPr>
          <w:rStyle w:val="63"/>
          <w:rFonts w:hint="eastAsia" w:ascii="宋体" w:hAnsi="宋体"/>
        </w:rPr>
        <w:t>第五章附件</w:t>
      </w:r>
      <w:r>
        <w:rPr>
          <w:rFonts w:ascii="宋体" w:hAnsi="宋体"/>
        </w:rPr>
        <w:tab/>
      </w:r>
      <w:r>
        <w:rPr>
          <w:rFonts w:ascii="宋体" w:hAnsi="宋体"/>
        </w:rPr>
        <w:fldChar w:fldCharType="begin"/>
      </w:r>
      <w:r>
        <w:rPr>
          <w:rFonts w:ascii="宋体" w:hAnsi="宋体"/>
        </w:rPr>
        <w:instrText xml:space="preserve"> PAGEREF _Toc511397075 \h </w:instrText>
      </w:r>
      <w:r>
        <w:rPr>
          <w:rFonts w:ascii="宋体" w:hAnsi="宋体"/>
        </w:rPr>
        <w:fldChar w:fldCharType="separate"/>
      </w:r>
      <w:r>
        <w:rPr>
          <w:rFonts w:ascii="宋体" w:hAnsi="宋体"/>
        </w:rPr>
        <w:t>35</w:t>
      </w:r>
      <w:r>
        <w:rPr>
          <w:rFonts w:ascii="宋体" w:hAnsi="宋体"/>
        </w:rPr>
        <w:fldChar w:fldCharType="end"/>
      </w:r>
      <w:r>
        <w:rPr>
          <w:rFonts w:ascii="宋体" w:hAnsi="宋体"/>
        </w:rPr>
        <w:fldChar w:fldCharType="end"/>
      </w:r>
    </w:p>
    <w:p>
      <w:pPr>
        <w:spacing w:line="360" w:lineRule="auto"/>
        <w:jc w:val="center"/>
        <w:rPr>
          <w:b/>
          <w:bCs/>
          <w:sz w:val="32"/>
          <w:szCs w:val="32"/>
        </w:rPr>
      </w:pPr>
      <w:r>
        <w:rPr>
          <w:rFonts w:ascii="宋体" w:hAnsi="宋体"/>
        </w:rPr>
        <w:fldChar w:fldCharType="end"/>
      </w:r>
      <w:r>
        <w:rPr>
          <w:sz w:val="36"/>
        </w:rPr>
        <w:br w:type="page"/>
      </w:r>
      <w:bookmarkStart w:id="0" w:name="_Toc511397031"/>
      <w:r>
        <w:rPr>
          <w:rFonts w:hint="eastAsia"/>
          <w:b/>
          <w:bCs/>
          <w:sz w:val="32"/>
          <w:szCs w:val="32"/>
        </w:rPr>
        <w:t>第一章  竞争性磋商公告</w:t>
      </w:r>
      <w:bookmarkEnd w:id="0"/>
    </w:p>
    <w:p>
      <w:pPr>
        <w:widowControl/>
        <w:numPr>
          <w:ilvl w:val="0"/>
          <w:numId w:val="1"/>
        </w:numPr>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 xml:space="preserve">采购人：临沂市妇女儿童医院    </w:t>
      </w: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地址：临沂市罗庄区清河南路1号(临沂市妇女儿童医院) </w:t>
      </w:r>
    </w:p>
    <w:p>
      <w:pPr>
        <w:widowControl/>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 xml:space="preserve">    联系方式：0539-8139169(临沂市妇女儿童医院) </w:t>
      </w:r>
    </w:p>
    <w:p>
      <w:pPr>
        <w:widowControl/>
        <w:adjustRightInd w:val="0"/>
        <w:snapToGrid w:val="0"/>
        <w:spacing w:line="360" w:lineRule="auto"/>
        <w:ind w:firstLine="480"/>
        <w:jc w:val="left"/>
        <w:rPr>
          <w:rFonts w:ascii="宋体" w:hAnsi="宋体" w:cs="宋体"/>
          <w:color w:val="000000"/>
          <w:kern w:val="0"/>
          <w:sz w:val="24"/>
        </w:rPr>
      </w:pPr>
      <w:r>
        <w:rPr>
          <w:rFonts w:hint="eastAsia" w:ascii="宋体" w:hAnsi="宋体" w:cs="宋体"/>
          <w:color w:val="000000"/>
          <w:kern w:val="0"/>
          <w:sz w:val="24"/>
        </w:rPr>
        <w:t xml:space="preserve">采购代理机构：山东元真建设项目管理有限公司    </w:t>
      </w:r>
    </w:p>
    <w:p>
      <w:pPr>
        <w:widowControl/>
        <w:adjustRightInd w:val="0"/>
        <w:snapToGrid w:val="0"/>
        <w:spacing w:line="360" w:lineRule="auto"/>
        <w:ind w:firstLine="480"/>
        <w:jc w:val="left"/>
        <w:rPr>
          <w:rFonts w:ascii="宋体" w:hAnsi="宋体" w:cs="宋体"/>
          <w:color w:val="000000"/>
          <w:kern w:val="0"/>
          <w:sz w:val="24"/>
        </w:rPr>
      </w:pPr>
      <w:r>
        <w:rPr>
          <w:rFonts w:hint="eastAsia" w:ascii="宋体" w:hAnsi="宋体" w:cs="宋体"/>
          <w:color w:val="000000"/>
          <w:kern w:val="0"/>
          <w:sz w:val="24"/>
        </w:rPr>
        <w:t xml:space="preserve">地址：山东省临沂市河东区环球阳光城A号楼10楼 </w:t>
      </w:r>
    </w:p>
    <w:p>
      <w:pPr>
        <w:widowControl/>
        <w:adjustRightInd w:val="0"/>
        <w:snapToGrid w:val="0"/>
        <w:spacing w:line="360" w:lineRule="auto"/>
        <w:jc w:val="left"/>
        <w:rPr>
          <w:rFonts w:ascii="宋体" w:hAnsi="宋体" w:cs="宋体"/>
          <w:color w:val="000000"/>
          <w:kern w:val="0"/>
          <w:sz w:val="24"/>
          <w:szCs w:val="22"/>
        </w:rPr>
      </w:pPr>
      <w:r>
        <w:rPr>
          <w:rFonts w:hint="eastAsia" w:ascii="宋体" w:hAnsi="宋体" w:cs="宋体"/>
          <w:color w:val="000000"/>
          <w:kern w:val="0"/>
          <w:sz w:val="24"/>
        </w:rPr>
        <w:t xml:space="preserve">    联系</w:t>
      </w:r>
      <w:r>
        <w:rPr>
          <w:rFonts w:hint="eastAsia" w:ascii="宋体" w:hAnsi="宋体" w:cs="宋体"/>
          <w:color w:val="000000"/>
          <w:kern w:val="0"/>
          <w:sz w:val="24"/>
          <w:szCs w:val="22"/>
        </w:rPr>
        <w:t xml:space="preserve">方式：19963659878 </w:t>
      </w:r>
    </w:p>
    <w:p>
      <w:pPr>
        <w:widowControl/>
        <w:adjustRightInd w:val="0"/>
        <w:snapToGrid w:val="0"/>
        <w:spacing w:line="360" w:lineRule="auto"/>
        <w:jc w:val="left"/>
        <w:rPr>
          <w:rFonts w:ascii="宋体" w:hAnsi="宋体" w:cs="宋体"/>
          <w:color w:val="000000"/>
          <w:kern w:val="0"/>
          <w:sz w:val="24"/>
          <w:szCs w:val="22"/>
        </w:rPr>
      </w:pPr>
      <w:r>
        <w:rPr>
          <w:rFonts w:hint="eastAsia" w:ascii="宋体" w:hAnsi="宋体" w:cs="宋体"/>
          <w:color w:val="000000"/>
          <w:kern w:val="0"/>
          <w:sz w:val="24"/>
          <w:szCs w:val="22"/>
        </w:rPr>
        <w:t>二、采购项目名称：临沂市妇女儿童医院干式生化分析仪、尿液分析流水线采购</w:t>
      </w:r>
    </w:p>
    <w:p>
      <w:pPr>
        <w:widowControl/>
        <w:adjustRightInd w:val="0"/>
        <w:snapToGrid w:val="0"/>
        <w:spacing w:line="360" w:lineRule="auto"/>
        <w:ind w:firstLine="480" w:firstLineChars="200"/>
        <w:jc w:val="left"/>
        <w:rPr>
          <w:rFonts w:ascii="宋体" w:hAnsi="宋体" w:cs="宋体"/>
          <w:color w:val="000000"/>
          <w:kern w:val="0"/>
          <w:sz w:val="24"/>
          <w:szCs w:val="22"/>
        </w:rPr>
      </w:pPr>
      <w:r>
        <w:rPr>
          <w:rFonts w:hint="eastAsia" w:ascii="宋体" w:hAnsi="宋体" w:cs="宋体"/>
          <w:color w:val="000000"/>
          <w:kern w:val="0"/>
          <w:sz w:val="24"/>
          <w:szCs w:val="22"/>
        </w:rPr>
        <w:t>采购项目编号：SDYZCG-2019-080</w:t>
      </w:r>
    </w:p>
    <w:p>
      <w:pPr>
        <w:widowControl/>
        <w:adjustRightInd w:val="0"/>
        <w:snapToGrid w:val="0"/>
        <w:spacing w:line="360" w:lineRule="auto"/>
        <w:jc w:val="left"/>
        <w:rPr>
          <w:rFonts w:ascii="宋体" w:hAnsi="宋体" w:cs="宋体"/>
          <w:color w:val="000000"/>
          <w:kern w:val="0"/>
          <w:sz w:val="24"/>
          <w:szCs w:val="22"/>
        </w:rPr>
      </w:pPr>
      <w:r>
        <w:rPr>
          <w:rFonts w:hint="eastAsia" w:ascii="宋体" w:hAnsi="宋体" w:cs="宋体"/>
          <w:color w:val="000000"/>
          <w:kern w:val="0"/>
          <w:sz w:val="24"/>
          <w:szCs w:val="22"/>
        </w:rPr>
        <w:t xml:space="preserve">    采购项目编号（采购计划编号）：</w:t>
      </w:r>
    </w:p>
    <w:p>
      <w:pPr>
        <w:widowControl/>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采购项目分包情况：</w:t>
      </w:r>
    </w:p>
    <w:tbl>
      <w:tblPr>
        <w:tblStyle w:val="56"/>
        <w:tblW w:w="979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8"/>
        <w:gridCol w:w="1153"/>
        <w:gridCol w:w="6626"/>
        <w:gridCol w:w="1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rPr>
            </w:pPr>
            <w:r>
              <w:rPr>
                <w:rFonts w:hint="eastAsia" w:ascii="宋体" w:hAnsi="宋体"/>
              </w:rPr>
              <w:t>包号</w:t>
            </w:r>
          </w:p>
        </w:tc>
        <w:tc>
          <w:tcPr>
            <w:tcW w:w="115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rPr>
            </w:pPr>
            <w:r>
              <w:rPr>
                <w:rFonts w:hint="eastAsia" w:ascii="宋体" w:hAnsi="宋体"/>
              </w:rPr>
              <w:t>采购内容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rPr>
            </w:pPr>
            <w:r>
              <w:rPr>
                <w:rFonts w:hint="eastAsia" w:ascii="宋体" w:hAnsi="宋体"/>
                <w:sz w:val="22"/>
              </w:rPr>
              <w:t>投标人资格要求</w:t>
            </w:r>
          </w:p>
        </w:tc>
        <w:tc>
          <w:tcPr>
            <w:tcW w:w="12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rPr>
            </w:pPr>
            <w:r>
              <w:rPr>
                <w:rFonts w:hint="eastAsia" w:ascii="宋体" w:hAnsi="宋体"/>
                <w:sz w:val="22"/>
              </w:rPr>
              <w:t>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7"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A包</w:t>
            </w:r>
          </w:p>
        </w:tc>
        <w:tc>
          <w:tcPr>
            <w:tcW w:w="115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cs="宋体"/>
                <w:color w:val="000000"/>
                <w:kern w:val="0"/>
                <w:sz w:val="24"/>
                <w:szCs w:val="22"/>
              </w:rPr>
              <w:t>干式生化分析仪</w:t>
            </w:r>
          </w:p>
        </w:tc>
        <w:tc>
          <w:tcPr>
            <w:tcW w:w="6626" w:type="dxa"/>
            <w:vMerge w:val="restart"/>
            <w:tcBorders>
              <w:top w:val="single" w:color="auto" w:sz="4" w:space="0"/>
              <w:left w:val="single" w:color="auto" w:sz="4" w:space="0"/>
              <w:right w:val="single" w:color="auto" w:sz="4" w:space="0"/>
            </w:tcBorders>
          </w:tcPr>
          <w:p>
            <w:pPr>
              <w:spacing w:line="360" w:lineRule="auto"/>
              <w:rPr>
                <w:rFonts w:hAnsi="宋体" w:cs="宋体"/>
                <w:sz w:val="24"/>
                <w:szCs w:val="24"/>
              </w:rPr>
            </w:pPr>
            <w:r>
              <w:rPr>
                <w:rFonts w:hint="eastAsia" w:hAnsi="宋体" w:cs="宋体"/>
                <w:sz w:val="24"/>
                <w:szCs w:val="24"/>
              </w:rPr>
              <w:t>1、满足《中华人民共和国政府采购法》第二十二条规定的资格要求；</w:t>
            </w:r>
          </w:p>
          <w:p>
            <w:pPr>
              <w:spacing w:line="360" w:lineRule="auto"/>
              <w:rPr>
                <w:rFonts w:hAnsi="宋体" w:cs="宋体"/>
                <w:sz w:val="24"/>
                <w:szCs w:val="24"/>
              </w:rPr>
            </w:pPr>
            <w:r>
              <w:rPr>
                <w:rFonts w:hint="eastAsia" w:hAnsi="宋体" w:cs="宋体"/>
                <w:sz w:val="24"/>
                <w:szCs w:val="24"/>
              </w:rPr>
              <w:t>2、在中国境内注册，具有独立法人资格，具有独立承担民事责任的能力，经年检合格的营业执照（必须有相应的经营范围）、税务登记证、组织机构代码证；</w:t>
            </w:r>
          </w:p>
          <w:p>
            <w:pPr>
              <w:spacing w:line="360" w:lineRule="auto"/>
              <w:rPr>
                <w:rFonts w:hAnsi="宋体" w:cs="宋体"/>
                <w:sz w:val="24"/>
                <w:szCs w:val="24"/>
                <w:highlight w:val="none"/>
              </w:rPr>
            </w:pPr>
            <w:r>
              <w:rPr>
                <w:rFonts w:hint="eastAsia" w:hAnsi="宋体" w:cs="宋体"/>
                <w:sz w:val="24"/>
                <w:szCs w:val="24"/>
              </w:rPr>
              <w:t>3、投标人具有医疗器械经营（生产）许可证或备案证、投标设</w:t>
            </w:r>
            <w:r>
              <w:rPr>
                <w:rFonts w:hint="eastAsia" w:hAnsi="宋体" w:cs="宋体"/>
                <w:sz w:val="24"/>
                <w:szCs w:val="24"/>
                <w:highlight w:val="none"/>
              </w:rPr>
              <w:t>备具有医疗器械注册证和登记表。</w:t>
            </w:r>
          </w:p>
          <w:p>
            <w:pPr>
              <w:spacing w:line="360" w:lineRule="auto"/>
              <w:rPr>
                <w:rFonts w:hAnsi="宋体" w:cs="宋体"/>
                <w:sz w:val="24"/>
                <w:szCs w:val="24"/>
                <w:highlight w:val="none"/>
              </w:rPr>
            </w:pPr>
            <w:r>
              <w:rPr>
                <w:rFonts w:hint="eastAsia" w:hAnsi="宋体" w:cs="宋体"/>
                <w:sz w:val="24"/>
                <w:szCs w:val="24"/>
                <w:highlight w:val="none"/>
              </w:rPr>
              <w:t>4、投标人所投产品具有生产厂家或中国境内总代理商出具的授权书；</w:t>
            </w:r>
          </w:p>
          <w:p>
            <w:pPr>
              <w:spacing w:line="360" w:lineRule="auto"/>
              <w:rPr>
                <w:rFonts w:hAnsi="宋体" w:cs="宋体"/>
                <w:sz w:val="24"/>
                <w:szCs w:val="24"/>
              </w:rPr>
            </w:pPr>
            <w:r>
              <w:rPr>
                <w:rFonts w:hint="eastAsia" w:hAnsi="宋体" w:cs="宋体"/>
                <w:sz w:val="24"/>
                <w:szCs w:val="24"/>
                <w:highlight w:val="none"/>
              </w:rPr>
              <w:t>5、具有履</w:t>
            </w:r>
            <w:r>
              <w:rPr>
                <w:rFonts w:hint="eastAsia" w:hAnsi="宋体" w:cs="宋体"/>
                <w:sz w:val="24"/>
                <w:szCs w:val="24"/>
              </w:rPr>
              <w:t>行本项目合同的专业技术能力和良好的售后服务能力；所投货物必须符合有关现行国家标准、行业标准及采购文件要求；</w:t>
            </w:r>
          </w:p>
          <w:p>
            <w:pPr>
              <w:spacing w:line="360" w:lineRule="auto"/>
              <w:rPr>
                <w:rFonts w:hAnsi="宋体" w:cs="宋体"/>
                <w:sz w:val="24"/>
                <w:szCs w:val="24"/>
              </w:rPr>
            </w:pPr>
            <w:r>
              <w:rPr>
                <w:rFonts w:hint="eastAsia" w:hAnsi="宋体" w:cs="宋体"/>
                <w:sz w:val="24"/>
                <w:szCs w:val="24"/>
              </w:rPr>
              <w:t>6、本项目不接受联合体报价；</w:t>
            </w:r>
          </w:p>
          <w:p>
            <w:pPr>
              <w:spacing w:line="380" w:lineRule="exact"/>
              <w:rPr>
                <w:rFonts w:ascii="宋体" w:hAnsi="宋体"/>
                <w:sz w:val="24"/>
              </w:rPr>
            </w:pPr>
            <w:r>
              <w:rPr>
                <w:rFonts w:hint="eastAsia" w:hAnsi="宋体" w:cs="宋体"/>
                <w:sz w:val="24"/>
                <w:szCs w:val="24"/>
              </w:rPr>
              <w:t>7、法律法规规定的其他条件。</w:t>
            </w:r>
          </w:p>
        </w:tc>
        <w:tc>
          <w:tcPr>
            <w:tcW w:w="12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50万元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2"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B包</w:t>
            </w:r>
          </w:p>
        </w:tc>
        <w:tc>
          <w:tcPr>
            <w:tcW w:w="115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cs="宋体"/>
                <w:color w:val="000000"/>
                <w:kern w:val="0"/>
                <w:sz w:val="24"/>
                <w:szCs w:val="22"/>
              </w:rPr>
              <w:t>尿液分析流水线</w:t>
            </w:r>
          </w:p>
        </w:tc>
        <w:tc>
          <w:tcPr>
            <w:tcW w:w="6626" w:type="dxa"/>
            <w:vMerge w:val="continue"/>
            <w:tcBorders>
              <w:left w:val="single" w:color="auto" w:sz="4" w:space="0"/>
              <w:right w:val="single" w:color="auto" w:sz="4" w:space="0"/>
            </w:tcBorders>
          </w:tcPr>
          <w:p>
            <w:pPr>
              <w:spacing w:line="380" w:lineRule="exact"/>
              <w:rPr>
                <w:rFonts w:hAnsi="宋体" w:cs="宋体"/>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53万元</w:t>
            </w:r>
          </w:p>
        </w:tc>
      </w:tr>
    </w:tbl>
    <w:p>
      <w:pPr>
        <w:pStyle w:val="39"/>
        <w:spacing w:line="240" w:lineRule="auto"/>
        <w:ind w:firstLine="0"/>
        <w:jc w:val="both"/>
        <w:rPr>
          <w:b w:val="0"/>
          <w:bCs/>
          <w:sz w:val="24"/>
          <w:szCs w:val="24"/>
        </w:rPr>
      </w:pPr>
      <w:r>
        <w:rPr>
          <w:rFonts w:hint="eastAsia"/>
          <w:b w:val="0"/>
          <w:bCs/>
          <w:sz w:val="24"/>
          <w:szCs w:val="24"/>
        </w:rPr>
        <w:t xml:space="preserve">三、获取磋商文件 </w:t>
      </w:r>
    </w:p>
    <w:p>
      <w:pPr>
        <w:pStyle w:val="39"/>
        <w:spacing w:line="440" w:lineRule="exact"/>
        <w:ind w:firstLine="240" w:firstLineChars="100"/>
        <w:jc w:val="both"/>
        <w:rPr>
          <w:b w:val="0"/>
          <w:bCs/>
          <w:sz w:val="24"/>
          <w:szCs w:val="24"/>
        </w:rPr>
      </w:pPr>
      <w:r>
        <w:rPr>
          <w:rFonts w:hint="eastAsia"/>
          <w:b w:val="0"/>
          <w:bCs/>
          <w:sz w:val="24"/>
          <w:szCs w:val="24"/>
        </w:rPr>
        <w:t>1.时间：2019年</w:t>
      </w:r>
      <w:r>
        <w:rPr>
          <w:rFonts w:hint="eastAsia"/>
          <w:b w:val="0"/>
          <w:bCs/>
          <w:sz w:val="24"/>
          <w:szCs w:val="24"/>
          <w:lang w:val="en-US" w:eastAsia="zh-CN"/>
        </w:rPr>
        <w:t>6</w:t>
      </w:r>
      <w:r>
        <w:rPr>
          <w:rFonts w:hint="eastAsia"/>
          <w:b w:val="0"/>
          <w:bCs/>
          <w:sz w:val="24"/>
          <w:szCs w:val="24"/>
        </w:rPr>
        <w:t>月</w:t>
      </w:r>
      <w:r>
        <w:rPr>
          <w:rFonts w:hint="eastAsia"/>
          <w:b w:val="0"/>
          <w:bCs/>
          <w:sz w:val="24"/>
          <w:szCs w:val="24"/>
          <w:lang w:val="en-US" w:eastAsia="zh-CN"/>
        </w:rPr>
        <w:t>11</w:t>
      </w:r>
      <w:r>
        <w:rPr>
          <w:rFonts w:hint="eastAsia"/>
          <w:b w:val="0"/>
          <w:bCs/>
          <w:sz w:val="24"/>
          <w:szCs w:val="24"/>
        </w:rPr>
        <w:t>日8时30分至2019年</w:t>
      </w:r>
      <w:r>
        <w:rPr>
          <w:rFonts w:hint="eastAsia"/>
          <w:b w:val="0"/>
          <w:bCs/>
          <w:sz w:val="24"/>
          <w:szCs w:val="24"/>
          <w:lang w:val="en-US" w:eastAsia="zh-CN"/>
        </w:rPr>
        <w:t>6</w:t>
      </w:r>
      <w:r>
        <w:rPr>
          <w:rFonts w:hint="eastAsia"/>
          <w:b w:val="0"/>
          <w:bCs/>
          <w:sz w:val="24"/>
          <w:szCs w:val="24"/>
        </w:rPr>
        <w:t>月</w:t>
      </w:r>
      <w:r>
        <w:rPr>
          <w:rFonts w:hint="eastAsia"/>
          <w:b w:val="0"/>
          <w:bCs/>
          <w:sz w:val="24"/>
          <w:szCs w:val="24"/>
          <w:lang w:val="en-US" w:eastAsia="zh-CN"/>
        </w:rPr>
        <w:t>17</w:t>
      </w:r>
      <w:r>
        <w:rPr>
          <w:rFonts w:hint="eastAsia"/>
          <w:b w:val="0"/>
          <w:bCs/>
          <w:sz w:val="24"/>
          <w:szCs w:val="24"/>
        </w:rPr>
        <w:t xml:space="preserve">日16时30分（报名截止时间）（北京时间，法定节假日除外） </w:t>
      </w:r>
    </w:p>
    <w:p>
      <w:pPr>
        <w:pStyle w:val="39"/>
        <w:spacing w:line="440" w:lineRule="exact"/>
        <w:ind w:firstLine="0"/>
        <w:jc w:val="both"/>
        <w:rPr>
          <w:b w:val="0"/>
          <w:bCs/>
          <w:sz w:val="24"/>
          <w:szCs w:val="24"/>
        </w:rPr>
      </w:pPr>
      <w:r>
        <w:rPr>
          <w:rFonts w:hint="eastAsia"/>
          <w:b w:val="0"/>
          <w:bCs/>
          <w:sz w:val="24"/>
          <w:szCs w:val="24"/>
        </w:rPr>
        <w:t xml:space="preserve">2.地点：临沂市公共资源交易中心（临沂市北京路8号政务服务中心5楼）代理服务9号窗口。 </w:t>
      </w:r>
    </w:p>
    <w:p>
      <w:pPr>
        <w:pStyle w:val="39"/>
        <w:spacing w:line="400" w:lineRule="exact"/>
        <w:ind w:firstLine="240" w:firstLineChars="100"/>
        <w:jc w:val="both"/>
        <w:rPr>
          <w:b w:val="0"/>
          <w:bCs/>
          <w:sz w:val="24"/>
          <w:szCs w:val="24"/>
        </w:rPr>
      </w:pPr>
      <w:r>
        <w:rPr>
          <w:rFonts w:hint="eastAsia"/>
          <w:b w:val="0"/>
          <w:bCs/>
          <w:sz w:val="24"/>
          <w:szCs w:val="24"/>
        </w:rPr>
        <w:t>3.方式：登陆临沂市公共资源交易网（http://ggzyjy.linyi.gov.cn）办理诚信入库并报名和山东省政府采购信息公开平台（http://www.ccgp-shandong.gov.cn）注册网上报名，携带年检合格的以下材料（原件单独递交查验，复印件加盖单位红色公章装订成册）（1）有效的营业执照副本、税务登记证副本、组织机构代码证副本（或三证合一的营业执照副本）；（2）医疗器械经营（生产）许可证或备案证；（3）法定代表人授权委托书及被授权人身份证；（4）参加政府采购活动前三年内，在经营活动中没有重大违法记录的书面声明。（5）临沂市公共资源交易网网上报名回执单和山东省政府</w:t>
      </w:r>
      <w:r>
        <w:rPr>
          <w:rFonts w:hint="eastAsia"/>
          <w:b w:val="0"/>
          <w:bCs/>
          <w:sz w:val="24"/>
          <w:szCs w:val="24"/>
          <w:highlight w:val="none"/>
        </w:rPr>
        <w:t>采购网报名截图。（6）在【中国裁判文书网】查询无行贿记录截图；（7）</w:t>
      </w:r>
      <w:r>
        <w:rPr>
          <w:rFonts w:hint="eastAsia" w:hAnsi="宋体" w:cs="宋体"/>
          <w:b w:val="0"/>
          <w:bCs/>
          <w:sz w:val="24"/>
          <w:szCs w:val="24"/>
          <w:highlight w:val="none"/>
        </w:rPr>
        <w:t>投标人所投产品具有生产厂家或中国境内总代理商出具的授权书</w:t>
      </w:r>
      <w:r>
        <w:rPr>
          <w:rFonts w:hint="eastAsia"/>
          <w:b w:val="0"/>
          <w:bCs/>
          <w:sz w:val="24"/>
          <w:szCs w:val="24"/>
          <w:highlight w:val="none"/>
        </w:rPr>
        <w:t>（以上资料原件查验,复印件一份装订成册加盖公章并在封面清楚注明项目名称、投</w:t>
      </w:r>
      <w:r>
        <w:rPr>
          <w:rFonts w:hint="eastAsia"/>
          <w:b w:val="0"/>
          <w:bCs/>
          <w:sz w:val="24"/>
          <w:szCs w:val="24"/>
        </w:rPr>
        <w:t xml:space="preserve">标单位名称、联系人姓名、联系人电子邮箱并加盖公章，否则不予受理。 </w:t>
      </w:r>
    </w:p>
    <w:p>
      <w:pPr>
        <w:pStyle w:val="39"/>
        <w:spacing w:line="400" w:lineRule="exact"/>
        <w:ind w:firstLine="0"/>
        <w:rPr>
          <w:b w:val="0"/>
          <w:bCs/>
          <w:sz w:val="24"/>
          <w:szCs w:val="24"/>
        </w:rPr>
      </w:pPr>
      <w:r>
        <w:rPr>
          <w:rFonts w:hint="eastAsia"/>
          <w:b w:val="0"/>
          <w:bCs/>
          <w:sz w:val="24"/>
          <w:szCs w:val="24"/>
        </w:rPr>
        <w:t xml:space="preserve">4.售价：300元/包，售后不退。 </w:t>
      </w:r>
    </w:p>
    <w:p>
      <w:pPr>
        <w:pStyle w:val="39"/>
        <w:spacing w:line="400" w:lineRule="exact"/>
        <w:ind w:firstLine="0"/>
        <w:jc w:val="both"/>
        <w:rPr>
          <w:b w:val="0"/>
          <w:bCs/>
          <w:sz w:val="24"/>
          <w:szCs w:val="24"/>
        </w:rPr>
      </w:pPr>
      <w:r>
        <w:rPr>
          <w:rFonts w:hint="eastAsia"/>
          <w:b w:val="0"/>
          <w:bCs/>
          <w:sz w:val="24"/>
          <w:szCs w:val="24"/>
        </w:rPr>
        <w:t>四、公告期限：2019年</w:t>
      </w:r>
      <w:r>
        <w:rPr>
          <w:rFonts w:hint="eastAsia"/>
          <w:b w:val="0"/>
          <w:bCs/>
          <w:sz w:val="24"/>
          <w:szCs w:val="24"/>
          <w:lang w:val="en-US" w:eastAsia="zh-CN"/>
        </w:rPr>
        <w:t>6</w:t>
      </w:r>
      <w:r>
        <w:rPr>
          <w:rFonts w:hint="eastAsia"/>
          <w:b w:val="0"/>
          <w:bCs/>
          <w:sz w:val="24"/>
          <w:szCs w:val="24"/>
        </w:rPr>
        <w:t>月</w:t>
      </w:r>
      <w:r>
        <w:rPr>
          <w:rFonts w:hint="eastAsia"/>
          <w:b w:val="0"/>
          <w:bCs/>
          <w:sz w:val="24"/>
          <w:szCs w:val="24"/>
          <w:lang w:val="en-US" w:eastAsia="zh-CN"/>
        </w:rPr>
        <w:t>11</w:t>
      </w:r>
      <w:r>
        <w:rPr>
          <w:rFonts w:hint="eastAsia"/>
          <w:b w:val="0"/>
          <w:bCs/>
          <w:sz w:val="24"/>
          <w:szCs w:val="24"/>
        </w:rPr>
        <w:t>日 至 2019年</w:t>
      </w:r>
      <w:r>
        <w:rPr>
          <w:rFonts w:hint="eastAsia"/>
          <w:b w:val="0"/>
          <w:bCs/>
          <w:sz w:val="24"/>
          <w:szCs w:val="24"/>
          <w:lang w:val="en-US" w:eastAsia="zh-CN"/>
        </w:rPr>
        <w:t>6</w:t>
      </w:r>
      <w:r>
        <w:rPr>
          <w:rFonts w:hint="eastAsia"/>
          <w:b w:val="0"/>
          <w:bCs/>
          <w:sz w:val="24"/>
          <w:szCs w:val="24"/>
        </w:rPr>
        <w:t>月</w:t>
      </w:r>
      <w:r>
        <w:rPr>
          <w:rFonts w:hint="eastAsia"/>
          <w:b w:val="0"/>
          <w:bCs/>
          <w:sz w:val="24"/>
          <w:szCs w:val="24"/>
          <w:lang w:val="en-US" w:eastAsia="zh-CN"/>
        </w:rPr>
        <w:t>17</w:t>
      </w:r>
      <w:r>
        <w:rPr>
          <w:rFonts w:hint="eastAsia"/>
          <w:b w:val="0"/>
          <w:bCs/>
          <w:sz w:val="24"/>
          <w:szCs w:val="24"/>
        </w:rPr>
        <w:t xml:space="preserve">日 </w:t>
      </w:r>
    </w:p>
    <w:p>
      <w:pPr>
        <w:pStyle w:val="39"/>
        <w:spacing w:line="400" w:lineRule="exact"/>
        <w:ind w:firstLine="0"/>
        <w:jc w:val="both"/>
        <w:rPr>
          <w:b w:val="0"/>
          <w:bCs/>
          <w:sz w:val="24"/>
          <w:szCs w:val="24"/>
        </w:rPr>
      </w:pPr>
      <w:r>
        <w:rPr>
          <w:rFonts w:hint="eastAsia"/>
          <w:b w:val="0"/>
          <w:bCs/>
          <w:sz w:val="24"/>
          <w:szCs w:val="24"/>
        </w:rPr>
        <w:t xml:space="preserve">五、递交响应文件时间及地点 </w:t>
      </w:r>
    </w:p>
    <w:p>
      <w:pPr>
        <w:pStyle w:val="39"/>
        <w:spacing w:line="400" w:lineRule="exact"/>
        <w:jc w:val="both"/>
        <w:rPr>
          <w:b w:val="0"/>
          <w:bCs/>
          <w:sz w:val="24"/>
          <w:szCs w:val="24"/>
        </w:rPr>
      </w:pPr>
      <w:r>
        <w:rPr>
          <w:rFonts w:hint="eastAsia"/>
          <w:b w:val="0"/>
          <w:bCs/>
          <w:sz w:val="24"/>
          <w:szCs w:val="24"/>
        </w:rPr>
        <w:t>1.时间：2019年</w:t>
      </w:r>
      <w:r>
        <w:rPr>
          <w:rFonts w:hint="eastAsia"/>
          <w:b w:val="0"/>
          <w:bCs/>
          <w:sz w:val="24"/>
          <w:szCs w:val="24"/>
          <w:lang w:val="en-US" w:eastAsia="zh-CN"/>
        </w:rPr>
        <w:t>6</w:t>
      </w:r>
      <w:r>
        <w:rPr>
          <w:rFonts w:hint="eastAsia"/>
          <w:b w:val="0"/>
          <w:bCs/>
          <w:sz w:val="24"/>
          <w:szCs w:val="24"/>
        </w:rPr>
        <w:t>月</w:t>
      </w:r>
      <w:r>
        <w:rPr>
          <w:rFonts w:hint="eastAsia"/>
          <w:b w:val="0"/>
          <w:bCs/>
          <w:sz w:val="24"/>
          <w:szCs w:val="24"/>
          <w:lang w:val="en-US" w:eastAsia="zh-CN"/>
        </w:rPr>
        <w:t>21</w:t>
      </w:r>
      <w:r>
        <w:rPr>
          <w:rFonts w:hint="eastAsia"/>
          <w:b w:val="0"/>
          <w:bCs/>
          <w:sz w:val="24"/>
          <w:szCs w:val="24"/>
        </w:rPr>
        <w:t>日</w:t>
      </w:r>
      <w:r>
        <w:rPr>
          <w:rFonts w:hint="eastAsia"/>
          <w:b w:val="0"/>
          <w:bCs/>
          <w:sz w:val="24"/>
          <w:szCs w:val="24"/>
          <w:lang w:val="en-US" w:eastAsia="zh-CN"/>
        </w:rPr>
        <w:t>09</w:t>
      </w:r>
      <w:r>
        <w:rPr>
          <w:rFonts w:hint="eastAsia"/>
          <w:b w:val="0"/>
          <w:bCs/>
          <w:sz w:val="24"/>
          <w:szCs w:val="24"/>
        </w:rPr>
        <w:t>时</w:t>
      </w:r>
      <w:r>
        <w:rPr>
          <w:rFonts w:hint="eastAsia"/>
          <w:b w:val="0"/>
          <w:bCs/>
          <w:sz w:val="24"/>
          <w:szCs w:val="24"/>
          <w:lang w:val="en-US" w:eastAsia="zh-CN"/>
        </w:rPr>
        <w:t>0</w:t>
      </w:r>
      <w:r>
        <w:rPr>
          <w:rFonts w:hint="eastAsia"/>
          <w:b w:val="0"/>
          <w:bCs/>
          <w:sz w:val="24"/>
          <w:szCs w:val="24"/>
        </w:rPr>
        <w:t>0分至2019年</w:t>
      </w:r>
      <w:r>
        <w:rPr>
          <w:rFonts w:hint="eastAsia"/>
          <w:b w:val="0"/>
          <w:bCs/>
          <w:sz w:val="24"/>
          <w:szCs w:val="24"/>
          <w:lang w:val="en-US" w:eastAsia="zh-CN"/>
        </w:rPr>
        <w:t>6</w:t>
      </w:r>
      <w:r>
        <w:rPr>
          <w:rFonts w:hint="eastAsia"/>
          <w:b w:val="0"/>
          <w:bCs/>
          <w:sz w:val="24"/>
          <w:szCs w:val="24"/>
        </w:rPr>
        <w:t>月</w:t>
      </w:r>
      <w:r>
        <w:rPr>
          <w:rFonts w:hint="eastAsia"/>
          <w:b w:val="0"/>
          <w:bCs/>
          <w:sz w:val="24"/>
          <w:szCs w:val="24"/>
          <w:lang w:val="en-US" w:eastAsia="zh-CN"/>
        </w:rPr>
        <w:t>21</w:t>
      </w:r>
      <w:r>
        <w:rPr>
          <w:rFonts w:hint="eastAsia"/>
          <w:b w:val="0"/>
          <w:bCs/>
          <w:sz w:val="24"/>
          <w:szCs w:val="24"/>
        </w:rPr>
        <w:t>日</w:t>
      </w:r>
      <w:r>
        <w:rPr>
          <w:rFonts w:hint="eastAsia"/>
          <w:b w:val="0"/>
          <w:bCs/>
          <w:sz w:val="24"/>
          <w:szCs w:val="24"/>
          <w:lang w:val="en-US" w:eastAsia="zh-CN"/>
        </w:rPr>
        <w:t>09</w:t>
      </w:r>
      <w:r>
        <w:rPr>
          <w:rFonts w:hint="eastAsia"/>
          <w:b w:val="0"/>
          <w:bCs/>
          <w:sz w:val="24"/>
          <w:szCs w:val="24"/>
        </w:rPr>
        <w:t xml:space="preserve">时30分（北京时间） </w:t>
      </w:r>
    </w:p>
    <w:p>
      <w:pPr>
        <w:pStyle w:val="39"/>
        <w:spacing w:line="400" w:lineRule="exact"/>
        <w:jc w:val="both"/>
        <w:rPr>
          <w:b w:val="0"/>
          <w:bCs/>
          <w:sz w:val="24"/>
          <w:szCs w:val="24"/>
        </w:rPr>
      </w:pPr>
      <w:r>
        <w:rPr>
          <w:rFonts w:hint="eastAsia"/>
          <w:b w:val="0"/>
          <w:bCs/>
          <w:sz w:val="24"/>
          <w:szCs w:val="24"/>
        </w:rPr>
        <w:t xml:space="preserve">2.地点：临沂市公共资源交易中心开标室（临沂市政务服务中心5楼，北京路8号） </w:t>
      </w:r>
    </w:p>
    <w:p>
      <w:pPr>
        <w:pStyle w:val="39"/>
        <w:spacing w:line="400" w:lineRule="exact"/>
        <w:ind w:firstLine="0"/>
        <w:jc w:val="both"/>
        <w:rPr>
          <w:b w:val="0"/>
          <w:bCs/>
          <w:sz w:val="24"/>
          <w:szCs w:val="24"/>
        </w:rPr>
      </w:pPr>
      <w:r>
        <w:rPr>
          <w:rFonts w:hint="eastAsia"/>
          <w:b w:val="0"/>
          <w:bCs/>
          <w:sz w:val="24"/>
          <w:szCs w:val="24"/>
        </w:rPr>
        <w:t xml:space="preserve">六、磋商时间及地点 </w:t>
      </w:r>
    </w:p>
    <w:p>
      <w:pPr>
        <w:pStyle w:val="39"/>
        <w:spacing w:line="400" w:lineRule="exact"/>
        <w:jc w:val="both"/>
        <w:rPr>
          <w:b w:val="0"/>
          <w:bCs/>
          <w:sz w:val="24"/>
          <w:szCs w:val="24"/>
        </w:rPr>
      </w:pPr>
      <w:r>
        <w:rPr>
          <w:rFonts w:hint="eastAsia"/>
          <w:b w:val="0"/>
          <w:bCs/>
          <w:sz w:val="24"/>
          <w:szCs w:val="24"/>
        </w:rPr>
        <w:t>1.时间：2019年</w:t>
      </w:r>
      <w:r>
        <w:rPr>
          <w:rFonts w:hint="eastAsia"/>
          <w:b w:val="0"/>
          <w:bCs/>
          <w:sz w:val="24"/>
          <w:szCs w:val="24"/>
          <w:lang w:val="en-US" w:eastAsia="zh-CN"/>
        </w:rPr>
        <w:t>6</w:t>
      </w:r>
      <w:r>
        <w:rPr>
          <w:rFonts w:hint="eastAsia"/>
          <w:b w:val="0"/>
          <w:bCs/>
          <w:sz w:val="24"/>
          <w:szCs w:val="24"/>
        </w:rPr>
        <w:t>月</w:t>
      </w:r>
      <w:r>
        <w:rPr>
          <w:rFonts w:hint="eastAsia"/>
          <w:b w:val="0"/>
          <w:bCs/>
          <w:sz w:val="24"/>
          <w:szCs w:val="24"/>
          <w:lang w:val="en-US" w:eastAsia="zh-CN"/>
        </w:rPr>
        <w:t>21</w:t>
      </w:r>
      <w:r>
        <w:rPr>
          <w:rFonts w:hint="eastAsia"/>
          <w:b w:val="0"/>
          <w:bCs/>
          <w:sz w:val="24"/>
          <w:szCs w:val="24"/>
        </w:rPr>
        <w:t>日</w:t>
      </w:r>
      <w:r>
        <w:rPr>
          <w:rFonts w:hint="eastAsia"/>
          <w:b w:val="0"/>
          <w:bCs/>
          <w:sz w:val="24"/>
          <w:szCs w:val="24"/>
          <w:lang w:val="en-US" w:eastAsia="zh-CN"/>
        </w:rPr>
        <w:t>09</w:t>
      </w:r>
      <w:r>
        <w:rPr>
          <w:rFonts w:hint="eastAsia"/>
          <w:b w:val="0"/>
          <w:bCs/>
          <w:sz w:val="24"/>
          <w:szCs w:val="24"/>
        </w:rPr>
        <w:t xml:space="preserve">时30分（北京时间） </w:t>
      </w:r>
    </w:p>
    <w:p>
      <w:pPr>
        <w:pStyle w:val="39"/>
        <w:spacing w:line="400" w:lineRule="exact"/>
        <w:jc w:val="both"/>
        <w:rPr>
          <w:b w:val="0"/>
          <w:bCs/>
          <w:sz w:val="24"/>
          <w:szCs w:val="24"/>
        </w:rPr>
      </w:pPr>
      <w:r>
        <w:rPr>
          <w:rFonts w:hint="eastAsia"/>
          <w:b w:val="0"/>
          <w:bCs/>
          <w:sz w:val="24"/>
          <w:szCs w:val="24"/>
        </w:rPr>
        <w:t>2.地点：临沂市公共资源交易中心开标室</w:t>
      </w:r>
    </w:p>
    <w:p>
      <w:pPr>
        <w:pStyle w:val="39"/>
        <w:spacing w:line="400" w:lineRule="exact"/>
        <w:ind w:firstLine="0"/>
        <w:jc w:val="both"/>
        <w:rPr>
          <w:b w:val="0"/>
          <w:bCs/>
          <w:sz w:val="24"/>
          <w:szCs w:val="24"/>
        </w:rPr>
      </w:pPr>
      <w:r>
        <w:rPr>
          <w:rFonts w:hint="eastAsia"/>
          <w:b w:val="0"/>
          <w:bCs/>
          <w:sz w:val="24"/>
          <w:szCs w:val="24"/>
        </w:rPr>
        <w:t xml:space="preserve">七、采购项目联系方式： </w:t>
      </w:r>
    </w:p>
    <w:p>
      <w:pPr>
        <w:pStyle w:val="39"/>
        <w:spacing w:line="400" w:lineRule="exact"/>
        <w:jc w:val="both"/>
        <w:rPr>
          <w:b w:val="0"/>
          <w:bCs/>
          <w:sz w:val="24"/>
          <w:szCs w:val="24"/>
        </w:rPr>
      </w:pPr>
      <w:r>
        <w:rPr>
          <w:rFonts w:hint="eastAsia"/>
          <w:b w:val="0"/>
          <w:bCs/>
          <w:sz w:val="24"/>
          <w:szCs w:val="24"/>
        </w:rPr>
        <w:t xml:space="preserve">联系人：陈晔辉        联系方式：19963659878 </w:t>
      </w:r>
    </w:p>
    <w:p>
      <w:pPr>
        <w:pStyle w:val="39"/>
        <w:spacing w:line="400" w:lineRule="exact"/>
        <w:ind w:firstLine="0"/>
        <w:jc w:val="both"/>
        <w:rPr>
          <w:b w:val="0"/>
          <w:bCs/>
          <w:sz w:val="24"/>
          <w:szCs w:val="24"/>
        </w:rPr>
      </w:pPr>
      <w:r>
        <w:rPr>
          <w:rFonts w:hint="eastAsia"/>
          <w:b w:val="0"/>
          <w:bCs/>
          <w:sz w:val="24"/>
          <w:szCs w:val="24"/>
        </w:rPr>
        <w:t>八、采购项目的用途、数量、简要技术要求等</w:t>
      </w:r>
    </w:p>
    <w:p>
      <w:pPr>
        <w:pStyle w:val="39"/>
        <w:spacing w:line="400" w:lineRule="exact"/>
        <w:jc w:val="both"/>
        <w:rPr>
          <w:b w:val="0"/>
          <w:bCs/>
          <w:sz w:val="24"/>
          <w:szCs w:val="24"/>
        </w:rPr>
      </w:pPr>
      <w:r>
        <w:rPr>
          <w:rFonts w:hint="eastAsia"/>
          <w:b w:val="0"/>
          <w:bCs/>
          <w:sz w:val="24"/>
          <w:szCs w:val="24"/>
        </w:rPr>
        <w:t xml:space="preserve">详见招标文件 </w:t>
      </w:r>
    </w:p>
    <w:p>
      <w:pPr>
        <w:pStyle w:val="39"/>
        <w:numPr>
          <w:ilvl w:val="0"/>
          <w:numId w:val="2"/>
        </w:numPr>
        <w:spacing w:line="400" w:lineRule="exact"/>
        <w:jc w:val="both"/>
        <w:rPr>
          <w:b w:val="0"/>
          <w:bCs/>
          <w:sz w:val="24"/>
          <w:szCs w:val="24"/>
        </w:rPr>
      </w:pPr>
      <w:r>
        <w:rPr>
          <w:rFonts w:hint="eastAsia"/>
          <w:b w:val="0"/>
          <w:bCs/>
          <w:sz w:val="24"/>
          <w:szCs w:val="24"/>
        </w:rPr>
        <w:t>采购项目需要落实的政府采购政策</w:t>
      </w:r>
    </w:p>
    <w:p>
      <w:pPr>
        <w:spacing w:line="400" w:lineRule="exact"/>
        <w:ind w:firstLine="960" w:firstLineChars="400"/>
      </w:pPr>
      <w:r>
        <w:rPr>
          <w:rFonts w:hint="eastAsia"/>
          <w:bCs/>
          <w:sz w:val="24"/>
          <w:szCs w:val="24"/>
        </w:rPr>
        <w:t>详见招标文件</w:t>
      </w:r>
    </w:p>
    <w:p>
      <w:pPr>
        <w:pStyle w:val="39"/>
        <w:spacing w:line="240" w:lineRule="auto"/>
        <w:jc w:val="center"/>
        <w:rPr>
          <w:sz w:val="32"/>
          <w:szCs w:val="32"/>
        </w:rPr>
      </w:pPr>
      <w:bookmarkStart w:id="1" w:name="_Toc511397032"/>
      <w:r>
        <w:rPr>
          <w:rFonts w:hint="eastAsia"/>
          <w:sz w:val="32"/>
          <w:szCs w:val="32"/>
        </w:rPr>
        <w:t>第二章  供应商须知</w:t>
      </w:r>
      <w:bookmarkEnd w:id="1"/>
    </w:p>
    <w:p>
      <w:pPr>
        <w:pStyle w:val="7"/>
        <w:spacing w:line="360" w:lineRule="auto"/>
      </w:pPr>
      <w:bookmarkStart w:id="2" w:name="_Toc511397033"/>
      <w:r>
        <w:rPr>
          <w:rFonts w:hint="eastAsia"/>
        </w:rPr>
        <w:t>前 附 表</w:t>
      </w:r>
      <w:bookmarkEnd w:id="2"/>
    </w:p>
    <w:tbl>
      <w:tblPr>
        <w:tblStyle w:val="56"/>
        <w:tblW w:w="9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906"/>
        <w:gridCol w:w="1820"/>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00" w:lineRule="exact"/>
              <w:jc w:val="center"/>
              <w:rPr>
                <w:rFonts w:ascii="宋体" w:hAnsi="宋体" w:cs="仿宋"/>
                <w:sz w:val="24"/>
                <w:szCs w:val="24"/>
              </w:rPr>
            </w:pPr>
            <w:r>
              <w:rPr>
                <w:rFonts w:hint="eastAsia" w:ascii="宋体" w:hAnsi="宋体" w:cs="仿宋"/>
                <w:sz w:val="24"/>
                <w:szCs w:val="24"/>
              </w:rPr>
              <w:t>序号</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400" w:lineRule="exact"/>
              <w:jc w:val="center"/>
              <w:rPr>
                <w:rFonts w:ascii="宋体" w:hAnsi="宋体" w:cs="仿宋"/>
                <w:sz w:val="24"/>
                <w:szCs w:val="24"/>
              </w:rPr>
            </w:pPr>
            <w:r>
              <w:rPr>
                <w:rFonts w:hint="eastAsia" w:ascii="宋体" w:hAnsi="宋体" w:cs="仿宋"/>
                <w:sz w:val="24"/>
                <w:szCs w:val="24"/>
              </w:rPr>
              <w:t>项　　目</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00" w:lineRule="exact"/>
              <w:ind w:firstLine="2160" w:firstLineChars="900"/>
              <w:rPr>
                <w:rFonts w:ascii="宋体" w:hAnsi="宋体" w:cs="仿宋"/>
                <w:sz w:val="24"/>
                <w:szCs w:val="24"/>
              </w:rPr>
            </w:pPr>
            <w:r>
              <w:rPr>
                <w:rFonts w:hint="eastAsia" w:ascii="宋体" w:hAnsi="宋体" w:cs="仿宋"/>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723"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sz w:val="24"/>
                <w:szCs w:val="24"/>
              </w:rPr>
              <w:t>1</w:t>
            </w:r>
          </w:p>
        </w:tc>
        <w:tc>
          <w:tcPr>
            <w:tcW w:w="906" w:type="dxa"/>
            <w:vMerge w:val="restart"/>
            <w:tcBorders>
              <w:top w:val="single" w:color="auto" w:sz="4" w:space="0"/>
              <w:left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概况</w:t>
            </w:r>
          </w:p>
        </w:tc>
        <w:tc>
          <w:tcPr>
            <w:tcW w:w="1820"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sz w:val="24"/>
                <w:szCs w:val="24"/>
              </w:rPr>
            </w:pPr>
            <w:r>
              <w:rPr>
                <w:rFonts w:hint="eastAsia" w:ascii="宋体" w:hAnsi="宋体" w:cs="仿宋"/>
                <w:sz w:val="24"/>
                <w:szCs w:val="24"/>
              </w:rPr>
              <w:t>项目名称及编号</w:t>
            </w:r>
          </w:p>
        </w:tc>
        <w:tc>
          <w:tcPr>
            <w:tcW w:w="57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rPr>
                <w:rFonts w:ascii="宋体" w:hAnsi="宋体" w:cs="仿宋"/>
                <w:sz w:val="24"/>
                <w:szCs w:val="24"/>
              </w:rPr>
            </w:pPr>
            <w:r>
              <w:rPr>
                <w:rFonts w:hint="eastAsia" w:ascii="宋体" w:hAnsi="宋体" w:cs="仿宋"/>
                <w:sz w:val="24"/>
                <w:szCs w:val="24"/>
              </w:rPr>
              <w:t>名称：</w:t>
            </w:r>
            <w:r>
              <w:rPr>
                <w:rFonts w:hint="eastAsia" w:ascii="宋体" w:hAnsi="宋体" w:cs="宋体"/>
                <w:color w:val="000000"/>
                <w:kern w:val="0"/>
                <w:sz w:val="24"/>
                <w:szCs w:val="24"/>
              </w:rPr>
              <w:t>临沂市妇女儿童医院干式生化分析仪、尿液分析流水线采购项目</w:t>
            </w:r>
          </w:p>
          <w:p>
            <w:pPr>
              <w:widowControl/>
              <w:adjustRightInd w:val="0"/>
              <w:spacing w:line="360" w:lineRule="exact"/>
              <w:rPr>
                <w:rFonts w:ascii="宋体" w:hAnsi="宋体" w:cs="仿宋"/>
                <w:sz w:val="24"/>
                <w:szCs w:val="24"/>
              </w:rPr>
            </w:pPr>
            <w:r>
              <w:rPr>
                <w:rFonts w:hint="eastAsia" w:ascii="宋体" w:hAnsi="宋体" w:cs="仿宋"/>
                <w:sz w:val="24"/>
                <w:szCs w:val="24"/>
              </w:rPr>
              <w:t>项目编号：</w:t>
            </w:r>
            <w:r>
              <w:rPr>
                <w:rFonts w:hint="eastAsia" w:ascii="宋体" w:hAnsi="宋体" w:cs="宋体"/>
                <w:color w:val="000000"/>
                <w:kern w:val="0"/>
                <w:sz w:val="24"/>
                <w:szCs w:val="24"/>
              </w:rPr>
              <w:t>SDYZCG-2019-080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723" w:type="dxa"/>
            <w:vMerge w:val="continue"/>
            <w:tcBorders>
              <w:left w:val="single" w:color="auto" w:sz="4" w:space="0"/>
              <w:right w:val="single" w:color="auto" w:sz="4" w:space="0"/>
            </w:tcBorders>
            <w:vAlign w:val="center"/>
          </w:tcPr>
          <w:p>
            <w:pPr>
              <w:jc w:val="center"/>
              <w:rPr>
                <w:rFonts w:ascii="宋体" w:hAnsi="宋体" w:cs="仿宋"/>
                <w:sz w:val="24"/>
                <w:szCs w:val="24"/>
              </w:rPr>
            </w:pPr>
          </w:p>
        </w:tc>
        <w:tc>
          <w:tcPr>
            <w:tcW w:w="906" w:type="dxa"/>
            <w:vMerge w:val="continue"/>
            <w:tcBorders>
              <w:left w:val="single" w:color="auto" w:sz="4" w:space="0"/>
              <w:right w:val="single" w:color="auto" w:sz="4" w:space="0"/>
            </w:tcBorders>
            <w:vAlign w:val="center"/>
          </w:tcPr>
          <w:p>
            <w:pPr>
              <w:rPr>
                <w:rFonts w:ascii="宋体" w:hAnsi="宋体" w:cs="仿宋"/>
                <w:sz w:val="24"/>
                <w:szCs w:val="24"/>
              </w:rPr>
            </w:pPr>
          </w:p>
        </w:tc>
        <w:tc>
          <w:tcPr>
            <w:tcW w:w="1820" w:type="dxa"/>
            <w:tcBorders>
              <w:top w:val="single" w:color="auto" w:sz="4" w:space="0"/>
              <w:left w:val="single" w:color="auto" w:sz="4" w:space="0"/>
              <w:right w:val="single" w:color="auto" w:sz="4" w:space="0"/>
            </w:tcBorders>
            <w:vAlign w:val="center"/>
          </w:tcPr>
          <w:p>
            <w:pPr>
              <w:tabs>
                <w:tab w:val="left" w:pos="3122"/>
              </w:tabs>
              <w:spacing w:line="360" w:lineRule="exact"/>
              <w:ind w:right="-573" w:rightChars="-273" w:firstLine="120" w:firstLineChars="50"/>
              <w:rPr>
                <w:rFonts w:ascii="宋体" w:hAnsi="宋体" w:cs="仿宋"/>
                <w:sz w:val="24"/>
                <w:szCs w:val="24"/>
              </w:rPr>
            </w:pPr>
            <w:r>
              <w:rPr>
                <w:rFonts w:hint="eastAsia" w:ascii="宋体" w:hAnsi="宋体" w:cs="仿宋"/>
                <w:sz w:val="24"/>
                <w:szCs w:val="24"/>
              </w:rPr>
              <w:t>采购人</w:t>
            </w:r>
          </w:p>
        </w:tc>
        <w:tc>
          <w:tcPr>
            <w:tcW w:w="5752" w:type="dxa"/>
            <w:tcBorders>
              <w:top w:val="single" w:color="auto" w:sz="4" w:space="0"/>
              <w:left w:val="single" w:color="auto" w:sz="4" w:space="0"/>
              <w:right w:val="single" w:color="auto" w:sz="4" w:space="0"/>
            </w:tcBorders>
            <w:vAlign w:val="center"/>
          </w:tcPr>
          <w:p>
            <w:pPr>
              <w:widowControl/>
              <w:adjustRightInd w:val="0"/>
              <w:spacing w:line="360" w:lineRule="exact"/>
              <w:jc w:val="left"/>
              <w:rPr>
                <w:rFonts w:ascii="宋体" w:hAnsi="宋体" w:cs="仿宋"/>
                <w:color w:val="000000"/>
                <w:kern w:val="0"/>
                <w:sz w:val="24"/>
                <w:szCs w:val="24"/>
              </w:rPr>
            </w:pPr>
            <w:r>
              <w:rPr>
                <w:rFonts w:hint="eastAsia" w:ascii="宋体" w:hAnsi="宋体" w:cs="宋体"/>
                <w:color w:val="000000"/>
                <w:kern w:val="0"/>
                <w:sz w:val="24"/>
                <w:szCs w:val="24"/>
              </w:rPr>
              <w:t>临沂市妇女儿童医院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723" w:type="dxa"/>
            <w:vMerge w:val="continue"/>
            <w:tcBorders>
              <w:left w:val="single" w:color="auto" w:sz="4" w:space="0"/>
              <w:right w:val="single" w:color="auto" w:sz="4" w:space="0"/>
            </w:tcBorders>
            <w:vAlign w:val="center"/>
          </w:tcPr>
          <w:p>
            <w:pPr>
              <w:jc w:val="center"/>
              <w:rPr>
                <w:rFonts w:ascii="宋体" w:hAnsi="宋体" w:cs="仿宋"/>
                <w:sz w:val="24"/>
                <w:szCs w:val="24"/>
              </w:rPr>
            </w:pPr>
          </w:p>
        </w:tc>
        <w:tc>
          <w:tcPr>
            <w:tcW w:w="906" w:type="dxa"/>
            <w:vMerge w:val="continue"/>
            <w:tcBorders>
              <w:left w:val="single" w:color="auto" w:sz="4" w:space="0"/>
              <w:right w:val="single" w:color="auto" w:sz="4" w:space="0"/>
            </w:tcBorders>
            <w:vAlign w:val="center"/>
          </w:tcPr>
          <w:p>
            <w:pPr>
              <w:rPr>
                <w:rFonts w:ascii="宋体" w:hAnsi="宋体" w:cs="仿宋"/>
                <w:sz w:val="24"/>
                <w:szCs w:val="24"/>
              </w:rPr>
            </w:pPr>
          </w:p>
        </w:tc>
        <w:tc>
          <w:tcPr>
            <w:tcW w:w="1820" w:type="dxa"/>
            <w:vMerge w:val="restart"/>
            <w:tcBorders>
              <w:top w:val="single" w:color="auto" w:sz="4" w:space="0"/>
              <w:left w:val="single" w:color="auto" w:sz="4" w:space="0"/>
              <w:right w:val="single" w:color="auto" w:sz="4" w:space="0"/>
            </w:tcBorders>
            <w:vAlign w:val="center"/>
          </w:tcPr>
          <w:p>
            <w:pPr>
              <w:widowControl/>
              <w:adjustRightInd w:val="0"/>
              <w:spacing w:line="360" w:lineRule="exact"/>
              <w:rPr>
                <w:rFonts w:ascii="宋体" w:hAnsi="宋体" w:cs="仿宋"/>
                <w:sz w:val="24"/>
                <w:szCs w:val="24"/>
              </w:rPr>
            </w:pPr>
            <w:r>
              <w:rPr>
                <w:rFonts w:hint="eastAsia" w:ascii="宋体" w:hAnsi="宋体" w:cs="仿宋"/>
                <w:sz w:val="24"/>
                <w:szCs w:val="24"/>
              </w:rPr>
              <w:t>预算资金</w:t>
            </w:r>
          </w:p>
        </w:tc>
        <w:tc>
          <w:tcPr>
            <w:tcW w:w="5752" w:type="dxa"/>
            <w:tcBorders>
              <w:top w:val="single" w:color="auto" w:sz="4" w:space="0"/>
              <w:left w:val="single" w:color="auto" w:sz="4" w:space="0"/>
              <w:right w:val="single" w:color="auto" w:sz="4" w:space="0"/>
            </w:tcBorders>
            <w:vAlign w:val="center"/>
          </w:tcPr>
          <w:p>
            <w:pPr>
              <w:widowControl/>
              <w:adjustRightInd w:val="0"/>
              <w:spacing w:line="360" w:lineRule="auto"/>
              <w:rPr>
                <w:sz w:val="24"/>
                <w:szCs w:val="24"/>
              </w:rPr>
            </w:pPr>
            <w:r>
              <w:rPr>
                <w:rFonts w:hint="eastAsia" w:ascii="宋体" w:hAnsi="宋体" w:cs="宋体"/>
                <w:color w:val="000000"/>
                <w:kern w:val="0"/>
                <w:sz w:val="24"/>
                <w:szCs w:val="24"/>
              </w:rPr>
              <w:t>A包50万元；B包53万元。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723" w:type="dxa"/>
            <w:vMerge w:val="continue"/>
            <w:tcBorders>
              <w:left w:val="single" w:color="auto" w:sz="4" w:space="0"/>
              <w:right w:val="single" w:color="auto" w:sz="4" w:space="0"/>
            </w:tcBorders>
            <w:vAlign w:val="center"/>
          </w:tcPr>
          <w:p>
            <w:pPr>
              <w:widowControl/>
              <w:adjustRightInd w:val="0"/>
              <w:spacing w:line="360" w:lineRule="auto"/>
              <w:rPr>
                <w:sz w:val="24"/>
                <w:szCs w:val="24"/>
              </w:rPr>
            </w:pPr>
          </w:p>
        </w:tc>
        <w:tc>
          <w:tcPr>
            <w:tcW w:w="906" w:type="dxa"/>
            <w:vMerge w:val="continue"/>
            <w:tcBorders>
              <w:left w:val="single" w:color="auto" w:sz="4" w:space="0"/>
              <w:right w:val="single" w:color="auto" w:sz="4" w:space="0"/>
            </w:tcBorders>
            <w:vAlign w:val="center"/>
          </w:tcPr>
          <w:p>
            <w:pPr>
              <w:widowControl/>
              <w:adjustRightInd w:val="0"/>
              <w:spacing w:line="360" w:lineRule="auto"/>
              <w:rPr>
                <w:sz w:val="24"/>
                <w:szCs w:val="24"/>
              </w:rPr>
            </w:pPr>
          </w:p>
        </w:tc>
        <w:tc>
          <w:tcPr>
            <w:tcW w:w="1820" w:type="dxa"/>
            <w:vMerge w:val="continue"/>
            <w:tcBorders>
              <w:left w:val="single" w:color="auto" w:sz="4" w:space="0"/>
              <w:right w:val="single" w:color="auto" w:sz="4" w:space="0"/>
            </w:tcBorders>
            <w:vAlign w:val="center"/>
          </w:tcPr>
          <w:p>
            <w:pPr>
              <w:widowControl/>
              <w:adjustRightInd w:val="0"/>
              <w:spacing w:line="360" w:lineRule="auto"/>
              <w:rPr>
                <w:sz w:val="24"/>
                <w:szCs w:val="24"/>
              </w:rPr>
            </w:pPr>
          </w:p>
        </w:tc>
        <w:tc>
          <w:tcPr>
            <w:tcW w:w="5752" w:type="dxa"/>
            <w:tcBorders>
              <w:top w:val="single" w:color="auto" w:sz="4" w:space="0"/>
              <w:left w:val="single" w:color="auto" w:sz="4" w:space="0"/>
              <w:right w:val="single" w:color="auto" w:sz="4" w:space="0"/>
            </w:tcBorders>
            <w:vAlign w:val="center"/>
          </w:tcPr>
          <w:p>
            <w:pPr>
              <w:widowControl/>
              <w:adjustRightInd w:val="0"/>
              <w:spacing w:line="360" w:lineRule="auto"/>
              <w:rPr>
                <w:rFonts w:ascii="宋体" w:hAnsi="宋体" w:cs="仿宋"/>
                <w:sz w:val="24"/>
                <w:szCs w:val="24"/>
              </w:rPr>
            </w:pPr>
            <w:r>
              <w:rPr>
                <w:rFonts w:hint="eastAsia" w:ascii="宋体" w:hAnsi="宋体" w:cs="仿宋"/>
                <w:b/>
                <w:bCs/>
                <w:sz w:val="24"/>
                <w:szCs w:val="24"/>
              </w:rPr>
              <w:t>投标单位报价应低于预算价，否则报价无效。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sz w:val="24"/>
                <w:szCs w:val="24"/>
              </w:rPr>
              <w:t>2</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采购方式</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sz w:val="24"/>
                <w:szCs w:val="24"/>
              </w:rPr>
            </w:pPr>
            <w:r>
              <w:rPr>
                <w:rFonts w:hint="eastAsia" w:ascii="宋体" w:hAnsi="宋体" w:cs="仿宋"/>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sz w:val="24"/>
                <w:szCs w:val="24"/>
              </w:rPr>
              <w:t>3</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仿宋"/>
                <w:color w:val="000000"/>
                <w:sz w:val="24"/>
                <w:szCs w:val="24"/>
              </w:rPr>
              <w:t>递交响应文件截止时间</w:t>
            </w:r>
          </w:p>
        </w:tc>
        <w:tc>
          <w:tcPr>
            <w:tcW w:w="575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仿宋"/>
                <w:sz w:val="24"/>
                <w:szCs w:val="24"/>
              </w:rPr>
            </w:pPr>
            <w:r>
              <w:rPr>
                <w:rFonts w:hint="eastAsia" w:ascii="宋体" w:hAnsi="宋体" w:cs="仿宋"/>
                <w:sz w:val="24"/>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sz w:val="24"/>
                <w:szCs w:val="24"/>
              </w:rPr>
              <w:t>4</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仿宋"/>
                <w:color w:val="000000"/>
                <w:sz w:val="24"/>
                <w:szCs w:val="24"/>
              </w:rPr>
              <w:t>递交响应文件的地点</w:t>
            </w:r>
          </w:p>
        </w:tc>
        <w:tc>
          <w:tcPr>
            <w:tcW w:w="575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仿宋"/>
                <w:color w:val="000000"/>
                <w:sz w:val="24"/>
                <w:szCs w:val="24"/>
              </w:rPr>
            </w:pPr>
            <w:r>
              <w:rPr>
                <w:rFonts w:hint="eastAsia" w:ascii="宋体" w:hAnsi="宋体" w:cs="仿宋"/>
                <w:color w:val="000000"/>
                <w:sz w:val="24"/>
                <w:szCs w:val="24"/>
              </w:rPr>
              <w:t>临沂市政务服务中心5楼开标室（北城新区北京路8号）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23" w:type="dxa"/>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sz w:val="24"/>
                <w:szCs w:val="24"/>
              </w:rPr>
              <w:t>5</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投标保证金</w:t>
            </w:r>
          </w:p>
          <w:p>
            <w:pPr>
              <w:tabs>
                <w:tab w:val="left" w:pos="3122"/>
              </w:tabs>
              <w:spacing w:line="360" w:lineRule="exact"/>
              <w:jc w:val="center"/>
              <w:rPr>
                <w:rFonts w:ascii="宋体" w:hAnsi="宋体" w:cs="仿宋"/>
                <w:sz w:val="24"/>
                <w:szCs w:val="24"/>
              </w:rPr>
            </w:pPr>
            <w:r>
              <w:rPr>
                <w:rFonts w:hint="eastAsia" w:ascii="宋体" w:hAnsi="宋体" w:cs="仿宋"/>
                <w:sz w:val="24"/>
                <w:szCs w:val="24"/>
              </w:rPr>
              <w:t>(交与临沂市公共资源交易中心)</w:t>
            </w:r>
          </w:p>
        </w:tc>
        <w:tc>
          <w:tcPr>
            <w:tcW w:w="575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仿宋"/>
                <w:kern w:val="0"/>
                <w:sz w:val="24"/>
                <w:szCs w:val="24"/>
              </w:rPr>
            </w:pPr>
            <w:r>
              <w:rPr>
                <w:rFonts w:hint="eastAsia" w:ascii="宋体" w:hAnsi="宋体" w:cs="仿宋"/>
                <w:color w:val="000000"/>
                <w:kern w:val="0"/>
                <w:sz w:val="24"/>
                <w:szCs w:val="24"/>
              </w:rPr>
              <w:t>1、本次招标项目投标保证金人民币</w:t>
            </w:r>
            <w:r>
              <w:rPr>
                <w:rFonts w:hint="eastAsia" w:ascii="宋体" w:hAnsi="宋体" w:cs="仿宋"/>
                <w:kern w:val="0"/>
                <w:sz w:val="24"/>
                <w:szCs w:val="24"/>
              </w:rPr>
              <w:t>：</w:t>
            </w:r>
            <w:r>
              <w:rPr>
                <w:rFonts w:hint="eastAsia" w:ascii="宋体" w:hAnsi="宋体" w:cs="仿宋"/>
                <w:b/>
                <w:bCs/>
                <w:sz w:val="24"/>
                <w:szCs w:val="24"/>
              </w:rPr>
              <w:t>A包10000元、B包10000元。</w:t>
            </w:r>
          </w:p>
          <w:p>
            <w:pPr>
              <w:spacing w:line="400" w:lineRule="exact"/>
              <w:rPr>
                <w:rFonts w:ascii="宋体" w:hAnsi="宋体" w:cs="仿宋"/>
                <w:color w:val="000000"/>
                <w:kern w:val="0"/>
                <w:sz w:val="24"/>
                <w:szCs w:val="24"/>
              </w:rPr>
            </w:pPr>
            <w:r>
              <w:rPr>
                <w:rFonts w:hint="eastAsia" w:ascii="宋体" w:hAnsi="宋体" w:cs="仿宋"/>
                <w:color w:val="000000"/>
                <w:kern w:val="0"/>
                <w:sz w:val="24"/>
                <w:szCs w:val="24"/>
              </w:rPr>
              <w:t>2、投标保证金应在递交响应文件时间前以公司基本户向临沂市公共资源交易中心交纳投标保证金。因报价单位原因造成递交时间延误，责任自负。</w:t>
            </w:r>
          </w:p>
          <w:p>
            <w:pPr>
              <w:spacing w:line="400" w:lineRule="exact"/>
              <w:rPr>
                <w:rFonts w:ascii="宋体" w:hAnsi="宋体" w:cs="仿宋"/>
                <w:b/>
                <w:color w:val="000000"/>
                <w:w w:val="90"/>
                <w:kern w:val="0"/>
                <w:sz w:val="24"/>
                <w:szCs w:val="24"/>
              </w:rPr>
            </w:pPr>
            <w:r>
              <w:rPr>
                <w:rFonts w:hint="eastAsia" w:ascii="宋体" w:hAnsi="宋体" w:cs="仿宋"/>
                <w:b/>
                <w:w w:val="90"/>
                <w:sz w:val="24"/>
                <w:szCs w:val="24"/>
              </w:rPr>
              <w:t>注：投标保证金交纳账户（需自行登录临沂市公共资源交易中心系统查询项目缴纳保证金账户及编号等信息）。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sz w:val="24"/>
                <w:szCs w:val="24"/>
              </w:rPr>
              <w:t>6</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付款方式</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952"/>
                <w:tab w:val="left" w:pos="6384"/>
                <w:tab w:val="left" w:pos="6688"/>
                <w:tab w:val="left" w:pos="6840"/>
                <w:tab w:val="left" w:pos="7448"/>
                <w:tab w:val="left" w:pos="7752"/>
              </w:tabs>
              <w:adjustRightInd w:val="0"/>
              <w:snapToGrid w:val="0"/>
              <w:spacing w:line="380" w:lineRule="atLeast"/>
              <w:ind w:left="15" w:leftChars="7"/>
              <w:rPr>
                <w:rFonts w:ascii="宋体" w:hAnsi="宋体" w:cs="仿宋"/>
                <w:color w:val="000000"/>
                <w:kern w:val="0"/>
                <w:sz w:val="24"/>
                <w:szCs w:val="24"/>
              </w:rPr>
            </w:pPr>
            <w:r>
              <w:rPr>
                <w:rFonts w:hint="eastAsia" w:ascii="宋体" w:hAnsi="宋体" w:cs="宋体"/>
                <w:b/>
                <w:bCs/>
                <w:kern w:val="0"/>
                <w:sz w:val="24"/>
                <w:szCs w:val="24"/>
              </w:rPr>
              <w:t>合</w:t>
            </w:r>
            <w:r>
              <w:rPr>
                <w:rFonts w:hint="eastAsia" w:ascii="宋体" w:hAnsi="宋体" w:cs="宋体"/>
                <w:b/>
                <w:bCs/>
                <w:kern w:val="0"/>
                <w:sz w:val="24"/>
                <w:szCs w:val="24"/>
                <w:highlight w:val="none"/>
              </w:rPr>
              <w:t>同签订货到甲方安装验收合格后支付合同额的90%，剩余10%作为质保金一年后无质量问题一次性无息付清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sz w:val="24"/>
                <w:szCs w:val="24"/>
              </w:rPr>
              <w:t>7</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报价有效期</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sz w:val="24"/>
                <w:szCs w:val="24"/>
              </w:rPr>
            </w:pPr>
            <w:r>
              <w:rPr>
                <w:rFonts w:hint="eastAsia" w:ascii="宋体" w:hAnsi="宋体" w:cs="仿宋"/>
                <w:sz w:val="24"/>
                <w:szCs w:val="24"/>
              </w:rPr>
              <w:t xml:space="preserve">90天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sz w:val="24"/>
                <w:szCs w:val="24"/>
              </w:rPr>
              <w:t>8</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响应文件份数</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仿宋"/>
                <w:color w:val="000000"/>
                <w:sz w:val="24"/>
                <w:szCs w:val="24"/>
              </w:rPr>
              <w:t>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sz w:val="24"/>
                <w:szCs w:val="24"/>
              </w:rPr>
              <w:t>9</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评审方法</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仿宋"/>
                <w:color w:val="000000"/>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sz w:val="24"/>
                <w:szCs w:val="24"/>
              </w:rPr>
              <w:t>10</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招标内容</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宋体"/>
                <w:sz w:val="24"/>
                <w:szCs w:val="24"/>
              </w:rPr>
              <w:t>临沂市妇女儿童医院干式生化分析仪、尿液分析流水线采购项目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sz w:val="24"/>
                <w:szCs w:val="24"/>
              </w:rPr>
              <w:t>11</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bCs/>
                <w:kern w:val="11"/>
                <w:sz w:val="24"/>
                <w:szCs w:val="24"/>
              </w:rPr>
              <w:t>成交</w:t>
            </w:r>
            <w:r>
              <w:rPr>
                <w:rFonts w:hint="eastAsia" w:ascii="宋体" w:hAnsi="宋体" w:cs="仿宋"/>
                <w:sz w:val="24"/>
                <w:szCs w:val="24"/>
              </w:rPr>
              <w:t>服务费</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ind w:right="241" w:rightChars="115"/>
              <w:rPr>
                <w:sz w:val="24"/>
                <w:szCs w:val="24"/>
              </w:rPr>
            </w:pPr>
            <w:r>
              <w:rPr>
                <w:rFonts w:hint="eastAsia"/>
                <w:sz w:val="24"/>
                <w:szCs w:val="24"/>
              </w:rPr>
              <w:t>成交单位承担服务费，按原国家计委《招标代理服务收费管理暂行办法》（计价格[2002]1980号）及发改办价格[2003]857号《关于招标代理服务收费有关问题的通知》之规定，向成交供应商收取。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sz w:val="24"/>
                <w:szCs w:val="24"/>
              </w:rPr>
              <w:t>12</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质量要求</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rPr>
                <w:rFonts w:ascii="宋体" w:hAnsi="宋体" w:cs="仿宋"/>
                <w:sz w:val="24"/>
                <w:szCs w:val="24"/>
              </w:rPr>
            </w:pPr>
            <w:r>
              <w:rPr>
                <w:rFonts w:hint="eastAsia" w:ascii="宋体" w:hAnsi="宋体" w:cs="仿宋"/>
                <w:sz w:val="24"/>
                <w:szCs w:val="24"/>
              </w:rPr>
              <w:t>合格，达到国家现行技术标准。</w:t>
            </w:r>
          </w:p>
          <w:p>
            <w:pPr>
              <w:tabs>
                <w:tab w:val="left" w:pos="3122"/>
              </w:tabs>
              <w:spacing w:line="320" w:lineRule="exact"/>
              <w:rPr>
                <w:rFonts w:ascii="宋体" w:hAnsi="宋体" w:cs="仿宋"/>
                <w:sz w:val="24"/>
                <w:szCs w:val="24"/>
              </w:rPr>
            </w:pPr>
            <w:r>
              <w:rPr>
                <w:rFonts w:hint="eastAsia" w:ascii="宋体" w:hAnsi="宋体" w:cs="仿宋"/>
                <w:sz w:val="24"/>
                <w:szCs w:val="24"/>
              </w:rPr>
              <w:t>满足招标文件要求，与响应文件中描述相一致。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sz w:val="24"/>
                <w:szCs w:val="24"/>
              </w:rPr>
              <w:t>13</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bCs/>
                <w:kern w:val="11"/>
                <w:sz w:val="24"/>
                <w:szCs w:val="24"/>
              </w:rPr>
            </w:pPr>
            <w:r>
              <w:rPr>
                <w:rFonts w:hint="eastAsia" w:ascii="宋体" w:hAnsi="宋体" w:cs="仿宋"/>
                <w:bCs/>
                <w:kern w:val="11"/>
                <w:sz w:val="24"/>
                <w:szCs w:val="24"/>
              </w:rPr>
              <w:t>供货时间</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rPr>
                <w:rFonts w:ascii="宋体" w:hAnsi="宋体" w:cs="仿宋"/>
                <w:sz w:val="24"/>
                <w:szCs w:val="24"/>
              </w:rPr>
            </w:pPr>
            <w:r>
              <w:rPr>
                <w:rFonts w:hint="eastAsia" w:ascii="宋体" w:hAnsi="宋体" w:cs="仿宋"/>
                <w:b/>
                <w:bCs/>
                <w:sz w:val="24"/>
                <w:szCs w:val="24"/>
              </w:rPr>
              <w:t>按甲方要求供货。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sz w:val="24"/>
                <w:szCs w:val="24"/>
              </w:rPr>
              <w:t>14</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招标文件的澄清与修改</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ind w:right="241" w:rightChars="115"/>
              <w:rPr>
                <w:rFonts w:ascii="宋体" w:hAnsi="宋体" w:cs="仿宋"/>
                <w:color w:val="000000"/>
                <w:sz w:val="24"/>
                <w:szCs w:val="24"/>
              </w:rPr>
            </w:pPr>
            <w:r>
              <w:rPr>
                <w:rFonts w:hint="eastAsia" w:ascii="宋体" w:hAnsi="宋体" w:cs="仿宋"/>
                <w:color w:val="000000"/>
                <w:sz w:val="24"/>
                <w:szCs w:val="24"/>
              </w:rPr>
              <w:t>1、各潜在供应商对招标文件如有疑问，可要求澄清，要求澄清的潜在供应商应在收到招标文件之日2个工作日内按招标文件载明的联系方式以书面形式通知至采购代理机构。潜在供应商如在规定时间内未提出疑问，将被视同对招标文件中的各项内容均无异议。</w:t>
            </w:r>
          </w:p>
          <w:p>
            <w:pPr>
              <w:tabs>
                <w:tab w:val="left" w:pos="3122"/>
              </w:tabs>
              <w:spacing w:line="320" w:lineRule="exact"/>
              <w:ind w:right="241" w:rightChars="115"/>
              <w:rPr>
                <w:rFonts w:ascii="宋体" w:hAnsi="宋体" w:cs="仿宋"/>
                <w:color w:val="000000"/>
                <w:sz w:val="24"/>
                <w:szCs w:val="24"/>
              </w:rPr>
            </w:pPr>
            <w:r>
              <w:rPr>
                <w:rFonts w:hint="eastAsia" w:ascii="宋体" w:hAnsi="宋体" w:cs="仿宋"/>
                <w:color w:val="000000"/>
                <w:sz w:val="24"/>
                <w:szCs w:val="24"/>
              </w:rPr>
              <w:t>2、采购代理机构对收到的澄清要求将以书面形式予以答复，发给要求澄清的供应商。答复中包括所提的问题，但不包括问题的来源。</w:t>
            </w:r>
          </w:p>
          <w:p>
            <w:pPr>
              <w:tabs>
                <w:tab w:val="left" w:pos="3122"/>
              </w:tabs>
              <w:spacing w:line="320" w:lineRule="exact"/>
              <w:ind w:right="241" w:rightChars="115"/>
              <w:rPr>
                <w:rFonts w:ascii="宋体" w:hAnsi="宋体" w:cs="仿宋"/>
                <w:color w:val="000000"/>
                <w:sz w:val="24"/>
                <w:szCs w:val="24"/>
              </w:rPr>
            </w:pPr>
            <w:r>
              <w:rPr>
                <w:rFonts w:hint="eastAsia" w:ascii="宋体" w:hAnsi="宋体" w:cs="仿宋"/>
                <w:color w:val="000000"/>
                <w:sz w:val="24"/>
                <w:szCs w:val="24"/>
              </w:rPr>
              <w:t>3、在提交响应文件截止时间5日前任何时候，采购代理机构无论出于何种原因，均可用补充文件的形式对招标文件进行澄清和修改。该澄清和修改作为招标文件的组成部分，将向已登记备案并领取了招标文件的所有供应商发出，供应商在收到该招标文件后应于24小时内，以书面形式给予确认，逾期不确认视为认同。</w:t>
            </w:r>
          </w:p>
          <w:p>
            <w:pPr>
              <w:tabs>
                <w:tab w:val="left" w:pos="3122"/>
              </w:tabs>
              <w:spacing w:line="320" w:lineRule="exact"/>
              <w:ind w:right="241" w:rightChars="115"/>
              <w:rPr>
                <w:rFonts w:ascii="宋体" w:hAnsi="宋体" w:cs="仿宋"/>
                <w:sz w:val="24"/>
                <w:szCs w:val="24"/>
              </w:rPr>
            </w:pPr>
            <w:r>
              <w:rPr>
                <w:rFonts w:hint="eastAsia" w:ascii="宋体" w:hAnsi="宋体" w:cs="仿宋"/>
                <w:color w:val="000000"/>
                <w:sz w:val="24"/>
                <w:szCs w:val="24"/>
              </w:rPr>
              <w:t>4、为使供应商有足够的时间按招标文件的要求修改响应文件，采购代理机构可酌情推迟报价的截止与公开报价时间，并在提交响应文件截止时间前以书面形式通知各供应商，对所有供应商均具有约束力，而无论是否已经实际收到该通知。在这种情况下，采购代理机构和供应商受报价截止期制约的所有权利和义务均相应延长至新的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sz w:val="24"/>
                <w:szCs w:val="24"/>
              </w:rPr>
              <w:t>15</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项目负责人</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rPr>
                <w:rFonts w:ascii="宋体" w:hAnsi="宋体" w:cs="仿宋"/>
                <w:sz w:val="24"/>
                <w:szCs w:val="24"/>
              </w:rPr>
            </w:pPr>
            <w:r>
              <w:rPr>
                <w:rFonts w:hint="eastAsia" w:ascii="宋体" w:hAnsi="宋体" w:cs="仿宋"/>
                <w:sz w:val="24"/>
                <w:szCs w:val="24"/>
              </w:rPr>
              <w:t xml:space="preserve">联系人：陈晔辉　  </w:t>
            </w:r>
          </w:p>
          <w:p>
            <w:pPr>
              <w:tabs>
                <w:tab w:val="left" w:pos="3122"/>
              </w:tabs>
              <w:spacing w:line="320" w:lineRule="exact"/>
              <w:rPr>
                <w:rFonts w:ascii="宋体" w:hAnsi="宋体" w:cs="仿宋"/>
                <w:sz w:val="24"/>
                <w:szCs w:val="24"/>
              </w:rPr>
            </w:pPr>
            <w:r>
              <w:rPr>
                <w:rFonts w:hint="eastAsia" w:ascii="宋体" w:hAnsi="宋体" w:cs="仿宋"/>
                <w:sz w:val="24"/>
                <w:szCs w:val="24"/>
              </w:rPr>
              <w:t>电 话：</w:t>
            </w:r>
            <w:r>
              <w:rPr>
                <w:rFonts w:hint="eastAsia" w:ascii="宋体" w:hAnsi="宋体" w:cs="仿宋"/>
                <w:color w:val="000000"/>
                <w:kern w:val="0"/>
                <w:sz w:val="24"/>
                <w:szCs w:val="24"/>
              </w:rPr>
              <w:t>0539-8099095/18953978557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sz w:val="24"/>
                <w:szCs w:val="24"/>
              </w:rPr>
              <w:t>16</w:t>
            </w:r>
          </w:p>
        </w:tc>
        <w:tc>
          <w:tcPr>
            <w:tcW w:w="8478" w:type="dxa"/>
            <w:gridSpan w:val="3"/>
            <w:tcBorders>
              <w:top w:val="single" w:color="auto" w:sz="4" w:space="0"/>
              <w:left w:val="single" w:color="auto" w:sz="4" w:space="0"/>
              <w:bottom w:val="single" w:color="auto" w:sz="4" w:space="0"/>
            </w:tcBorders>
            <w:vAlign w:val="center"/>
          </w:tcPr>
          <w:p>
            <w:pPr>
              <w:spacing w:line="320" w:lineRule="exact"/>
              <w:rPr>
                <w:rFonts w:ascii="宋体" w:hAnsi="宋体" w:cs="仿宋"/>
                <w:sz w:val="24"/>
                <w:szCs w:val="24"/>
              </w:rPr>
            </w:pPr>
            <w:r>
              <w:rPr>
                <w:rFonts w:hint="eastAsia" w:ascii="宋体" w:hAnsi="宋体" w:cs="仿宋"/>
                <w:sz w:val="24"/>
                <w:szCs w:val="24"/>
              </w:rPr>
              <w:t>不管开标结果如何，供应商自行承担所有参加本项目有关的费用。供应商一旦参加本项目报价，即被认为接受了本招标文件的所有条件和规定。</w:t>
            </w:r>
          </w:p>
        </w:tc>
      </w:tr>
    </w:tbl>
    <w:p>
      <w:pPr>
        <w:pStyle w:val="7"/>
      </w:pPr>
      <w:bookmarkStart w:id="3" w:name="_Toc511397034"/>
    </w:p>
    <w:p>
      <w:pPr>
        <w:pStyle w:val="7"/>
      </w:pPr>
      <w:r>
        <w:rPr>
          <w:rFonts w:hint="eastAsia"/>
        </w:rPr>
        <w:t>一、说  明</w:t>
      </w:r>
      <w:bookmarkEnd w:id="3"/>
    </w:p>
    <w:p>
      <w:pPr>
        <w:pStyle w:val="8"/>
        <w:spacing w:before="0" w:after="0" w:line="240" w:lineRule="auto"/>
        <w:rPr>
          <w:sz w:val="24"/>
          <w:szCs w:val="24"/>
        </w:rPr>
      </w:pPr>
      <w:bookmarkStart w:id="4" w:name="_Toc511397035"/>
      <w:r>
        <w:rPr>
          <w:rFonts w:hint="eastAsia"/>
          <w:sz w:val="24"/>
          <w:szCs w:val="24"/>
        </w:rPr>
        <w:t>1.适用法律及范围</w:t>
      </w:r>
      <w:bookmarkEnd w:id="4"/>
    </w:p>
    <w:p>
      <w:pPr>
        <w:spacing w:line="460" w:lineRule="exact"/>
        <w:ind w:firstLine="480" w:firstLineChars="200"/>
        <w:jc w:val="left"/>
        <w:rPr>
          <w:rFonts w:ascii="宋体" w:hAnsi="宋体" w:cs="仿宋"/>
          <w:sz w:val="24"/>
          <w:szCs w:val="24"/>
        </w:rPr>
      </w:pPr>
      <w:r>
        <w:rPr>
          <w:rFonts w:hint="eastAsia" w:ascii="宋体" w:hAnsi="宋体" w:cs="仿宋"/>
          <w:sz w:val="24"/>
          <w:szCs w:val="24"/>
        </w:rPr>
        <w:t>本次采购及由本次采购产生的合同受中华人民共和国的相关法律、法规制约和保护。本次采购仅适用于第一章《招标公告》中所叙述的项目。</w:t>
      </w:r>
    </w:p>
    <w:p>
      <w:pPr>
        <w:pStyle w:val="8"/>
        <w:spacing w:before="0" w:after="0" w:line="240" w:lineRule="auto"/>
        <w:rPr>
          <w:sz w:val="24"/>
          <w:szCs w:val="24"/>
        </w:rPr>
      </w:pPr>
      <w:bookmarkStart w:id="5" w:name="_Toc511397036"/>
      <w:r>
        <w:rPr>
          <w:rFonts w:hint="eastAsia"/>
          <w:sz w:val="24"/>
          <w:szCs w:val="24"/>
        </w:rPr>
        <w:t>2.定义</w:t>
      </w:r>
      <w:bookmarkEnd w:id="5"/>
    </w:p>
    <w:p>
      <w:pPr>
        <w:numPr>
          <w:ilvl w:val="0"/>
          <w:numId w:val="3"/>
        </w:numPr>
        <w:tabs>
          <w:tab w:val="left" w:pos="360"/>
          <w:tab w:val="clear" w:pos="900"/>
        </w:tabs>
        <w:topLinePunct/>
        <w:spacing w:line="460" w:lineRule="exact"/>
        <w:ind w:left="540" w:hanging="360"/>
        <w:rPr>
          <w:rFonts w:ascii="宋体" w:hAnsi="宋体" w:cs="仿宋"/>
          <w:color w:val="000000"/>
          <w:kern w:val="0"/>
          <w:sz w:val="24"/>
          <w:szCs w:val="24"/>
        </w:rPr>
      </w:pPr>
      <w:r>
        <w:rPr>
          <w:rFonts w:hint="eastAsia" w:ascii="宋体" w:hAnsi="宋体" w:cs="仿宋"/>
          <w:sz w:val="24"/>
          <w:szCs w:val="24"/>
        </w:rPr>
        <w:t>“采购人”系指临沂市妇女儿童医院</w:t>
      </w:r>
    </w:p>
    <w:p>
      <w:pPr>
        <w:numPr>
          <w:ilvl w:val="0"/>
          <w:numId w:val="3"/>
        </w:numPr>
        <w:tabs>
          <w:tab w:val="left" w:pos="360"/>
          <w:tab w:val="clear" w:pos="900"/>
        </w:tabs>
        <w:topLinePunct/>
        <w:spacing w:line="460" w:lineRule="exact"/>
        <w:ind w:left="540" w:hanging="360"/>
        <w:rPr>
          <w:rFonts w:ascii="宋体" w:hAnsi="宋体" w:cs="仿宋"/>
          <w:sz w:val="24"/>
          <w:szCs w:val="24"/>
        </w:rPr>
      </w:pPr>
      <w:r>
        <w:rPr>
          <w:rFonts w:hint="eastAsia" w:ascii="宋体" w:hAnsi="宋体" w:cs="仿宋"/>
          <w:sz w:val="24"/>
          <w:szCs w:val="24"/>
        </w:rPr>
        <w:t>“采购代理机构”系指</w:t>
      </w:r>
      <w:r>
        <w:rPr>
          <w:rFonts w:hint="eastAsia" w:ascii="宋体" w:hAnsi="宋体" w:cs="仿宋"/>
          <w:color w:val="000000"/>
          <w:kern w:val="0"/>
          <w:sz w:val="24"/>
          <w:szCs w:val="24"/>
        </w:rPr>
        <w:t>山东元真建设项目管理有限公司</w:t>
      </w:r>
      <w:r>
        <w:rPr>
          <w:rFonts w:hint="eastAsia" w:ascii="宋体" w:hAnsi="宋体" w:cs="仿宋"/>
          <w:sz w:val="24"/>
          <w:szCs w:val="24"/>
        </w:rPr>
        <w:t xml:space="preserve">。               </w:t>
      </w:r>
    </w:p>
    <w:p>
      <w:pPr>
        <w:numPr>
          <w:ilvl w:val="0"/>
          <w:numId w:val="3"/>
        </w:numPr>
        <w:tabs>
          <w:tab w:val="left" w:pos="360"/>
          <w:tab w:val="clear" w:pos="900"/>
        </w:tabs>
        <w:topLinePunct/>
        <w:spacing w:line="460" w:lineRule="exact"/>
        <w:ind w:left="540" w:hanging="360"/>
        <w:rPr>
          <w:rFonts w:ascii="宋体" w:hAnsi="宋体" w:cs="仿宋"/>
          <w:sz w:val="24"/>
          <w:szCs w:val="24"/>
        </w:rPr>
      </w:pPr>
      <w:r>
        <w:rPr>
          <w:rFonts w:hint="eastAsia" w:ascii="宋体" w:hAnsi="宋体" w:cs="仿宋"/>
          <w:sz w:val="24"/>
          <w:szCs w:val="24"/>
        </w:rPr>
        <w:t>“供应商” 系指向采购代理机构索取招标文件并提交响应文件的供应商。</w:t>
      </w:r>
    </w:p>
    <w:p>
      <w:pPr>
        <w:numPr>
          <w:ilvl w:val="0"/>
          <w:numId w:val="3"/>
        </w:numPr>
        <w:tabs>
          <w:tab w:val="left" w:pos="360"/>
          <w:tab w:val="clear" w:pos="900"/>
        </w:tabs>
        <w:topLinePunct/>
        <w:spacing w:line="460" w:lineRule="exact"/>
        <w:ind w:left="540" w:hanging="360"/>
        <w:rPr>
          <w:rFonts w:ascii="宋体" w:hAnsi="宋体" w:cs="仿宋"/>
          <w:sz w:val="24"/>
          <w:szCs w:val="24"/>
        </w:rPr>
      </w:pPr>
      <w:r>
        <w:rPr>
          <w:rFonts w:hint="eastAsia" w:ascii="宋体" w:hAnsi="宋体" w:cs="仿宋"/>
          <w:sz w:val="24"/>
          <w:szCs w:val="24"/>
        </w:rPr>
        <w:t>“成交人”系指由磋商小组评审符合招标文件要求并向采购人提供供货和服务的生产企业。</w:t>
      </w:r>
    </w:p>
    <w:p>
      <w:pPr>
        <w:pStyle w:val="8"/>
        <w:spacing w:before="0" w:after="0" w:line="240" w:lineRule="auto"/>
        <w:rPr>
          <w:sz w:val="24"/>
          <w:szCs w:val="24"/>
        </w:rPr>
      </w:pPr>
      <w:bookmarkStart w:id="6" w:name="_Toc511397037"/>
      <w:r>
        <w:rPr>
          <w:rFonts w:hint="eastAsia"/>
          <w:sz w:val="24"/>
          <w:szCs w:val="24"/>
        </w:rPr>
        <w:t>3.报价费用</w:t>
      </w:r>
      <w:bookmarkEnd w:id="6"/>
    </w:p>
    <w:p>
      <w:pPr>
        <w:topLinePunct/>
        <w:spacing w:line="460" w:lineRule="exact"/>
        <w:ind w:firstLine="480" w:firstLineChars="200"/>
        <w:rPr>
          <w:rFonts w:ascii="宋体" w:hAnsi="宋体" w:cs="仿宋"/>
          <w:sz w:val="24"/>
          <w:szCs w:val="24"/>
        </w:rPr>
      </w:pPr>
      <w:r>
        <w:rPr>
          <w:rFonts w:hint="eastAsia" w:ascii="宋体" w:hAnsi="宋体" w:cs="仿宋"/>
          <w:sz w:val="24"/>
          <w:szCs w:val="24"/>
        </w:rPr>
        <w:t>供应商应自行承担所有与参加报价有关的费用。不论报价的结果如何，采购人、采购代理机构在任何情况下均无义务和责任承担这些费用。</w:t>
      </w:r>
    </w:p>
    <w:p>
      <w:pPr>
        <w:pStyle w:val="8"/>
        <w:spacing w:before="0" w:after="0" w:line="240" w:lineRule="auto"/>
        <w:rPr>
          <w:sz w:val="24"/>
          <w:szCs w:val="24"/>
        </w:rPr>
      </w:pPr>
      <w:bookmarkStart w:id="7" w:name="_Toc511397038"/>
      <w:r>
        <w:rPr>
          <w:rFonts w:hint="eastAsia"/>
          <w:sz w:val="24"/>
          <w:szCs w:val="24"/>
        </w:rPr>
        <w:t>4.合格的供应商</w:t>
      </w:r>
      <w:bookmarkEnd w:id="7"/>
    </w:p>
    <w:p>
      <w:pPr>
        <w:spacing w:line="480" w:lineRule="exact"/>
        <w:ind w:firstLine="480" w:firstLineChars="200"/>
      </w:pPr>
      <w:r>
        <w:rPr>
          <w:rFonts w:hint="eastAsia" w:ascii="宋体" w:hAnsi="宋体" w:cs="仿宋"/>
          <w:sz w:val="24"/>
          <w:szCs w:val="24"/>
        </w:rPr>
        <w:t>1) 供应商必须向采购代理机构购买招标文件并登记备案。</w:t>
      </w:r>
    </w:p>
    <w:p>
      <w:pPr>
        <w:spacing w:line="480" w:lineRule="exact"/>
        <w:ind w:firstLine="480" w:firstLineChars="200"/>
        <w:rPr>
          <w:rFonts w:ascii="宋体" w:hAnsi="宋体" w:cs="仿宋"/>
          <w:sz w:val="24"/>
          <w:szCs w:val="24"/>
        </w:rPr>
      </w:pPr>
      <w:r>
        <w:rPr>
          <w:rFonts w:hint="eastAsia" w:ascii="宋体" w:hAnsi="宋体" w:cs="仿宋"/>
          <w:sz w:val="24"/>
          <w:szCs w:val="24"/>
        </w:rPr>
        <w:t>2) 在以往前三年的政府采购活动中没有违法、违规、违纪、违约行为。</w:t>
      </w:r>
    </w:p>
    <w:p>
      <w:pPr>
        <w:spacing w:line="480" w:lineRule="exact"/>
        <w:ind w:firstLine="480" w:firstLineChars="200"/>
        <w:rPr>
          <w:rFonts w:ascii="宋体" w:hAnsi="宋体" w:cs="仿宋"/>
          <w:sz w:val="24"/>
          <w:szCs w:val="24"/>
        </w:rPr>
      </w:pPr>
      <w:r>
        <w:rPr>
          <w:rFonts w:hint="eastAsia" w:ascii="宋体" w:hAnsi="宋体" w:cs="仿宋"/>
          <w:sz w:val="24"/>
          <w:szCs w:val="24"/>
        </w:rPr>
        <w:t>3) 供应商必须遵守国家有关的法律、法规和政策。</w:t>
      </w:r>
    </w:p>
    <w:p>
      <w:pPr>
        <w:spacing w:line="480" w:lineRule="exact"/>
        <w:ind w:firstLine="480" w:firstLineChars="200"/>
        <w:rPr>
          <w:rFonts w:ascii="宋体" w:hAnsi="宋体" w:cs="仿宋"/>
          <w:sz w:val="24"/>
          <w:szCs w:val="24"/>
        </w:rPr>
      </w:pPr>
      <w:r>
        <w:rPr>
          <w:rFonts w:hint="eastAsia" w:ascii="宋体" w:hAnsi="宋体" w:cs="仿宋"/>
          <w:sz w:val="24"/>
          <w:szCs w:val="24"/>
        </w:rPr>
        <w:t>4) 招标文件的其它规定和要求。</w:t>
      </w:r>
    </w:p>
    <w:p>
      <w:pPr>
        <w:pStyle w:val="8"/>
        <w:spacing w:before="0" w:after="0" w:line="240" w:lineRule="auto"/>
        <w:rPr>
          <w:sz w:val="24"/>
          <w:szCs w:val="24"/>
        </w:rPr>
      </w:pPr>
      <w:bookmarkStart w:id="8" w:name="_Toc511397039"/>
      <w:r>
        <w:rPr>
          <w:rFonts w:hint="eastAsia"/>
          <w:sz w:val="24"/>
          <w:szCs w:val="24"/>
        </w:rPr>
        <w:t>5.报价有效期</w:t>
      </w:r>
      <w:bookmarkEnd w:id="8"/>
    </w:p>
    <w:p>
      <w:pPr>
        <w:spacing w:line="480" w:lineRule="exact"/>
        <w:ind w:firstLine="480" w:firstLineChars="200"/>
        <w:rPr>
          <w:rFonts w:ascii="宋体" w:hAnsi="宋体" w:cs="仿宋"/>
          <w:sz w:val="24"/>
          <w:szCs w:val="24"/>
        </w:rPr>
      </w:pPr>
      <w:r>
        <w:rPr>
          <w:rFonts w:hint="eastAsia" w:ascii="宋体" w:hAnsi="宋体" w:cs="仿宋"/>
          <w:sz w:val="24"/>
          <w:szCs w:val="24"/>
        </w:rPr>
        <w:t>响应文件的有效期为开标之</w:t>
      </w:r>
      <w:r>
        <w:rPr>
          <w:rFonts w:hint="eastAsia" w:ascii="宋体" w:hAnsi="宋体" w:cs="仿宋"/>
          <w:sz w:val="24"/>
          <w:szCs w:val="24"/>
          <w:u w:val="single"/>
        </w:rPr>
        <w:t>日起90日内</w:t>
      </w:r>
      <w:r>
        <w:rPr>
          <w:rFonts w:hint="eastAsia" w:ascii="宋体" w:hAnsi="宋体" w:cs="仿宋"/>
          <w:sz w:val="24"/>
          <w:szCs w:val="24"/>
        </w:rPr>
        <w:t>，开标后在有效期内不得撤回报价。特殊情况下，在报价有效期满之前，采购代理机构可以以书面形式要求供应商同意延长报价有效期。供应商可以以书面形式拒绝或接受上述要求。拒绝延长报价有效期的供应商有权收回已提交的保证金；同意延长报价有效期的供应商应当相应延长其保证金的有效期，但不得修改响应文件的实质性内容。</w:t>
      </w:r>
    </w:p>
    <w:p>
      <w:pPr>
        <w:pStyle w:val="8"/>
        <w:spacing w:before="0" w:after="0" w:line="240" w:lineRule="auto"/>
        <w:rPr>
          <w:sz w:val="24"/>
          <w:szCs w:val="24"/>
        </w:rPr>
      </w:pPr>
      <w:bookmarkStart w:id="9" w:name="_Toc511397040"/>
      <w:r>
        <w:rPr>
          <w:rFonts w:hint="eastAsia"/>
          <w:sz w:val="24"/>
          <w:szCs w:val="24"/>
        </w:rPr>
        <w:t>6.投标保证金</w:t>
      </w:r>
      <w:bookmarkEnd w:id="9"/>
    </w:p>
    <w:p>
      <w:pPr>
        <w:spacing w:line="460" w:lineRule="exact"/>
        <w:ind w:firstLine="480" w:firstLineChars="200"/>
        <w:rPr>
          <w:rFonts w:ascii="宋体" w:hAnsi="宋体" w:cs="仿宋"/>
          <w:color w:val="000000"/>
          <w:sz w:val="24"/>
          <w:szCs w:val="24"/>
        </w:rPr>
      </w:pPr>
      <w:r>
        <w:rPr>
          <w:rFonts w:hint="eastAsia" w:ascii="宋体" w:hAnsi="宋体" w:cs="仿宋"/>
          <w:color w:val="000000"/>
          <w:sz w:val="24"/>
          <w:szCs w:val="24"/>
        </w:rPr>
        <w:t>供应商的投标保证金是响应文件的组成部分，采购代理机构有权拒绝未按招标文件规定交纳开标保证金的供应商的报价。</w:t>
      </w:r>
    </w:p>
    <w:p>
      <w:pPr>
        <w:spacing w:line="400" w:lineRule="exact"/>
        <w:ind w:firstLine="480" w:firstLineChars="200"/>
        <w:rPr>
          <w:rFonts w:ascii="宋体" w:hAnsi="宋体" w:cs="仿宋"/>
          <w:color w:val="000000"/>
          <w:kern w:val="0"/>
          <w:sz w:val="24"/>
          <w:szCs w:val="24"/>
        </w:rPr>
      </w:pPr>
      <w:r>
        <w:rPr>
          <w:rFonts w:hint="eastAsia" w:ascii="宋体" w:hAnsi="宋体" w:cs="仿宋"/>
          <w:color w:val="000000"/>
          <w:sz w:val="24"/>
          <w:szCs w:val="24"/>
        </w:rPr>
        <w:t>1）</w:t>
      </w:r>
      <w:r>
        <w:rPr>
          <w:rFonts w:hint="eastAsia" w:ascii="宋体" w:hAnsi="宋体" w:cs="仿宋"/>
          <w:color w:val="000000"/>
          <w:kern w:val="0"/>
          <w:sz w:val="24"/>
          <w:szCs w:val="24"/>
        </w:rPr>
        <w:t>投标保证金应在递交响应文件时间前以公司基本户向临沂市公共资源交易中心交纳投标保证金。因报价单位原因造成递交时间延误或非基本账户交纳的，责任自负。</w:t>
      </w:r>
    </w:p>
    <w:p>
      <w:pPr>
        <w:spacing w:line="400" w:lineRule="exact"/>
        <w:rPr>
          <w:rFonts w:ascii="宋体" w:hAnsi="宋体" w:cs="仿宋"/>
          <w:b/>
          <w:w w:val="90"/>
          <w:sz w:val="24"/>
          <w:szCs w:val="24"/>
        </w:rPr>
      </w:pPr>
      <w:r>
        <w:rPr>
          <w:rFonts w:hint="eastAsia" w:ascii="宋体" w:hAnsi="宋体" w:cs="仿宋"/>
          <w:b/>
          <w:w w:val="90"/>
          <w:sz w:val="24"/>
          <w:szCs w:val="24"/>
        </w:rPr>
        <w:t>注：投标保证金交纳账户（需自行登录临沂市公共资源交易中心系统查询项目缴纳保证金账户及编号等信息）。</w:t>
      </w:r>
    </w:p>
    <w:p>
      <w:pPr>
        <w:topLinePunct/>
        <w:snapToGrid w:val="0"/>
        <w:spacing w:line="480" w:lineRule="exact"/>
        <w:ind w:firstLine="480" w:firstLineChars="200"/>
        <w:rPr>
          <w:rFonts w:ascii="宋体" w:hAnsi="宋体" w:cs="仿宋"/>
          <w:color w:val="000000"/>
          <w:kern w:val="0"/>
          <w:sz w:val="24"/>
          <w:szCs w:val="24"/>
        </w:rPr>
      </w:pPr>
      <w:r>
        <w:rPr>
          <w:rFonts w:hint="eastAsia" w:ascii="宋体" w:hAnsi="宋体" w:cs="仿宋"/>
          <w:color w:val="000000"/>
          <w:sz w:val="24"/>
          <w:szCs w:val="24"/>
        </w:rPr>
        <w:t>2)投标人有下列情况之一，其投标不仅被视为无效投标人，而且招标人将严格按照《中华人民共和国政府</w:t>
      </w:r>
      <w:r>
        <w:rPr>
          <w:rFonts w:hint="eastAsia" w:ascii="宋体" w:hAnsi="宋体" w:cs="仿宋"/>
          <w:sz w:val="24"/>
          <w:szCs w:val="24"/>
        </w:rPr>
        <w:t>采购法》及有关法律、法规及规章制度的规定行使其权利。投标人给招标人和代理招标人造成损失的，招标人、代理招标人有索赔的权利；给用户造成损失的，应予以赔偿。</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1、投标人提供的有关资格证明文件不真实，提供虚假投标材料的；</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2、投标人在投标有效期内撤回投标或因自身原因故意导致采购人采购失败造成重大损失；</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3、在整个评标过程中，投标人从事企图影响招标结果的任何活动；</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4、投标人以任何方式诋毁其他投标人；</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5、投标人串通投标；</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6、投标人向招标人、代理招标人、用户、磋商小组成员提供不正当利益；</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7、成交人不按要求提交成交服务费；</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8、成交人不按规定签订合同；</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9、法律、法规规定的其他情况。</w:t>
      </w:r>
    </w:p>
    <w:p>
      <w:pPr>
        <w:pStyle w:val="7"/>
        <w:rPr>
          <w:sz w:val="28"/>
          <w:szCs w:val="28"/>
        </w:rPr>
      </w:pPr>
      <w:bookmarkStart w:id="10" w:name="_Toc511397041"/>
      <w:r>
        <w:rPr>
          <w:rFonts w:hint="eastAsia" w:ascii="宋体" w:hAnsi="宋体" w:eastAsia="宋体" w:cs="宋体"/>
          <w:sz w:val="28"/>
          <w:szCs w:val="28"/>
        </w:rPr>
        <w:t>二、招标文件</w:t>
      </w:r>
      <w:bookmarkEnd w:id="10"/>
    </w:p>
    <w:p>
      <w:pPr>
        <w:pStyle w:val="8"/>
        <w:spacing w:before="0" w:after="0" w:line="240" w:lineRule="auto"/>
        <w:rPr>
          <w:sz w:val="24"/>
          <w:szCs w:val="24"/>
        </w:rPr>
      </w:pPr>
      <w:bookmarkStart w:id="11" w:name="_Toc511397042"/>
      <w:r>
        <w:rPr>
          <w:rFonts w:hint="eastAsia"/>
          <w:sz w:val="24"/>
          <w:szCs w:val="24"/>
        </w:rPr>
        <w:t>7.招标文件的组成</w:t>
      </w:r>
      <w:bookmarkEnd w:id="11"/>
    </w:p>
    <w:p>
      <w:pPr>
        <w:topLinePunct/>
        <w:spacing w:line="460" w:lineRule="exact"/>
        <w:ind w:firstLine="240" w:firstLineChars="100"/>
        <w:rPr>
          <w:rFonts w:ascii="宋体" w:hAnsi="宋体" w:cs="仿宋"/>
          <w:sz w:val="24"/>
          <w:szCs w:val="24"/>
        </w:rPr>
      </w:pPr>
      <w:r>
        <w:rPr>
          <w:rFonts w:hint="eastAsia" w:ascii="宋体" w:hAnsi="宋体" w:cs="仿宋"/>
          <w:sz w:val="24"/>
          <w:szCs w:val="24"/>
        </w:rPr>
        <w:t>1) 供应商应仔细检查招标文件是否齐全，如有缺漏，请立即与采购代理机构联系解决。招标文件包括下列内容：</w:t>
      </w:r>
    </w:p>
    <w:p>
      <w:pPr>
        <w:numPr>
          <w:ilvl w:val="1"/>
          <w:numId w:val="4"/>
        </w:numPr>
        <w:tabs>
          <w:tab w:val="left" w:pos="540"/>
          <w:tab w:val="clear" w:pos="1860"/>
        </w:tabs>
        <w:topLinePunct/>
        <w:spacing w:line="460" w:lineRule="exact"/>
        <w:ind w:left="1620" w:hanging="1080"/>
        <w:rPr>
          <w:rFonts w:ascii="宋体" w:hAnsi="宋体" w:cs="仿宋"/>
          <w:sz w:val="24"/>
          <w:szCs w:val="24"/>
        </w:rPr>
      </w:pPr>
      <w:r>
        <w:rPr>
          <w:rFonts w:hint="eastAsia" w:ascii="宋体" w:hAnsi="宋体" w:cs="仿宋"/>
          <w:sz w:val="24"/>
          <w:szCs w:val="24"/>
        </w:rPr>
        <w:t xml:space="preserve"> 招标公告</w:t>
      </w:r>
    </w:p>
    <w:p>
      <w:pPr>
        <w:numPr>
          <w:ilvl w:val="1"/>
          <w:numId w:val="4"/>
        </w:numPr>
        <w:tabs>
          <w:tab w:val="left" w:pos="1620"/>
          <w:tab w:val="clear" w:pos="1860"/>
        </w:tabs>
        <w:topLinePunct/>
        <w:spacing w:line="460" w:lineRule="exact"/>
        <w:ind w:hanging="1320"/>
        <w:rPr>
          <w:rFonts w:ascii="宋体" w:hAnsi="宋体" w:cs="仿宋"/>
          <w:sz w:val="24"/>
          <w:szCs w:val="24"/>
        </w:rPr>
      </w:pPr>
      <w:r>
        <w:rPr>
          <w:rFonts w:hint="eastAsia" w:ascii="宋体" w:hAnsi="宋体" w:cs="仿宋"/>
          <w:sz w:val="24"/>
          <w:szCs w:val="24"/>
        </w:rPr>
        <w:t xml:space="preserve"> 供应商须知</w:t>
      </w:r>
    </w:p>
    <w:p>
      <w:pPr>
        <w:numPr>
          <w:ilvl w:val="1"/>
          <w:numId w:val="4"/>
        </w:numPr>
        <w:tabs>
          <w:tab w:val="left" w:pos="1620"/>
          <w:tab w:val="clear" w:pos="1860"/>
        </w:tabs>
        <w:topLinePunct/>
        <w:spacing w:line="460" w:lineRule="exact"/>
        <w:ind w:hanging="1320"/>
        <w:rPr>
          <w:rFonts w:ascii="宋体" w:hAnsi="宋体" w:cs="仿宋"/>
          <w:sz w:val="24"/>
          <w:szCs w:val="24"/>
        </w:rPr>
      </w:pPr>
      <w:r>
        <w:rPr>
          <w:rFonts w:hint="eastAsia" w:ascii="宋体" w:hAnsi="宋体" w:cs="仿宋"/>
          <w:sz w:val="24"/>
          <w:szCs w:val="24"/>
        </w:rPr>
        <w:t xml:space="preserve"> 项目说明、要求</w:t>
      </w:r>
    </w:p>
    <w:p>
      <w:pPr>
        <w:numPr>
          <w:ilvl w:val="1"/>
          <w:numId w:val="4"/>
        </w:numPr>
        <w:tabs>
          <w:tab w:val="left" w:pos="1620"/>
          <w:tab w:val="clear" w:pos="1860"/>
        </w:tabs>
        <w:topLinePunct/>
        <w:spacing w:line="460" w:lineRule="exact"/>
        <w:ind w:hanging="1320"/>
        <w:rPr>
          <w:rFonts w:ascii="宋体" w:hAnsi="宋体" w:cs="仿宋"/>
          <w:sz w:val="24"/>
          <w:szCs w:val="24"/>
        </w:rPr>
      </w:pPr>
      <w:r>
        <w:rPr>
          <w:rFonts w:hint="eastAsia" w:ascii="宋体" w:hAnsi="宋体" w:cs="仿宋"/>
          <w:sz w:val="24"/>
          <w:szCs w:val="24"/>
        </w:rPr>
        <w:t xml:space="preserve"> 授予合同及参考范本</w:t>
      </w:r>
    </w:p>
    <w:p>
      <w:pPr>
        <w:numPr>
          <w:ilvl w:val="1"/>
          <w:numId w:val="4"/>
        </w:numPr>
        <w:tabs>
          <w:tab w:val="left" w:pos="1620"/>
          <w:tab w:val="clear" w:pos="1860"/>
        </w:tabs>
        <w:topLinePunct/>
        <w:spacing w:line="460" w:lineRule="exact"/>
        <w:ind w:hanging="1320"/>
        <w:rPr>
          <w:rFonts w:ascii="宋体" w:hAnsi="宋体" w:cs="仿宋"/>
          <w:sz w:val="24"/>
          <w:szCs w:val="24"/>
        </w:rPr>
      </w:pPr>
      <w:r>
        <w:rPr>
          <w:rFonts w:hint="eastAsia" w:ascii="宋体" w:hAnsi="宋体" w:cs="仿宋"/>
          <w:sz w:val="24"/>
          <w:szCs w:val="24"/>
        </w:rPr>
        <w:t xml:space="preserve"> 附件</w:t>
      </w:r>
    </w:p>
    <w:p>
      <w:pPr>
        <w:topLinePunct/>
        <w:spacing w:line="460" w:lineRule="exact"/>
        <w:ind w:firstLine="240" w:firstLineChars="100"/>
        <w:jc w:val="left"/>
        <w:rPr>
          <w:rFonts w:ascii="宋体" w:hAnsi="宋体" w:cs="仿宋"/>
          <w:color w:val="FF0000"/>
          <w:sz w:val="24"/>
          <w:szCs w:val="24"/>
        </w:rPr>
      </w:pPr>
      <w:r>
        <w:rPr>
          <w:rFonts w:hint="eastAsia" w:ascii="宋体" w:hAnsi="宋体" w:cs="仿宋"/>
          <w:sz w:val="24"/>
          <w:szCs w:val="24"/>
        </w:rPr>
        <w:t>2)供应商获取招标文件后，应认真阅读招标文件中所有的事项、格式、条款和规范等要求。如果供应商没有按照招标文件要求和规定编制响应文件及提交全部资料，或者响应文件没有对招标文件在各方面都做出实质性响应，其风险应由供应商承担；并根据有关条款规定，其报价有可能被拒绝。</w:t>
      </w:r>
    </w:p>
    <w:p>
      <w:pPr>
        <w:pStyle w:val="8"/>
        <w:spacing w:before="0" w:after="0" w:line="240" w:lineRule="auto"/>
        <w:rPr>
          <w:sz w:val="24"/>
          <w:szCs w:val="24"/>
        </w:rPr>
      </w:pPr>
      <w:bookmarkStart w:id="12" w:name="_Toc511397043"/>
      <w:r>
        <w:rPr>
          <w:rFonts w:hint="eastAsia"/>
          <w:sz w:val="24"/>
          <w:szCs w:val="24"/>
        </w:rPr>
        <w:t>8.招标文件的澄清、修改、补充</w:t>
      </w:r>
      <w:bookmarkEnd w:id="12"/>
    </w:p>
    <w:p>
      <w:pPr>
        <w:tabs>
          <w:tab w:val="left" w:pos="540"/>
        </w:tabs>
        <w:topLinePunct/>
        <w:spacing w:line="460" w:lineRule="exact"/>
        <w:ind w:firstLine="360" w:firstLineChars="150"/>
        <w:rPr>
          <w:rFonts w:ascii="宋体" w:hAnsi="宋体" w:cs="仿宋"/>
          <w:sz w:val="24"/>
          <w:szCs w:val="24"/>
        </w:rPr>
      </w:pPr>
      <w:r>
        <w:rPr>
          <w:rFonts w:hint="eastAsia" w:ascii="宋体" w:hAnsi="宋体" w:cs="仿宋"/>
          <w:sz w:val="24"/>
          <w:szCs w:val="24"/>
        </w:rPr>
        <w:t>1) 供应商若对招标文件有任何疑问以书面形式（加盖供应商单位公章、</w:t>
      </w:r>
      <w:bookmarkStart w:id="13" w:name="OLE_LINK3"/>
      <w:r>
        <w:rPr>
          <w:rFonts w:hint="eastAsia" w:ascii="宋体" w:hAnsi="宋体" w:cs="仿宋"/>
          <w:sz w:val="24"/>
          <w:szCs w:val="24"/>
        </w:rPr>
        <w:t>企业</w:t>
      </w:r>
      <w:bookmarkEnd w:id="13"/>
      <w:r>
        <w:rPr>
          <w:rFonts w:hint="eastAsia" w:ascii="宋体" w:hAnsi="宋体" w:cs="仿宋"/>
          <w:sz w:val="24"/>
          <w:szCs w:val="24"/>
        </w:rPr>
        <w:t>法人签字、企业法人身份证、被授权人身份证，否则不予答复）向采购代理机构（地址及联系方式见招标公告）提出澄清要求；若没有，视为供应商对招标文件无任何疑义。采购代理机构对</w:t>
      </w:r>
      <w:r>
        <w:rPr>
          <w:rFonts w:hint="eastAsia" w:ascii="宋体" w:hAnsi="宋体" w:cs="仿宋"/>
          <w:sz w:val="24"/>
          <w:szCs w:val="24"/>
          <w:u w:val="single"/>
        </w:rPr>
        <w:t>招标文件发售截止时间前</w:t>
      </w:r>
      <w:r>
        <w:rPr>
          <w:rFonts w:hint="eastAsia" w:ascii="宋体" w:hAnsi="宋体" w:cs="仿宋"/>
          <w:sz w:val="24"/>
          <w:szCs w:val="24"/>
        </w:rPr>
        <w:t>收到的任何澄清要求将以书面形式予以答复，答复中包括所问问题，但不包括问题的来源。</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2) 在投标截止时间前，无论出于何种原因，采购代理机构均可主动地或在解答供应商提出的澄清问题时对招标文件进行修改。</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3) 招标文件的修改将以书面形式或在山东省政府采购网、临沂政府采购网上通知所有购买同一招标文件的供应商，并对其具有约束力。供应商应在收到该修改文件后1日内以书面形式回复采购代理机构，确认已收到该修改文件。</w:t>
      </w:r>
      <w:r>
        <w:rPr>
          <w:rFonts w:hint="eastAsia" w:ascii="宋体" w:hAnsi="宋体" w:cs="仿宋"/>
          <w:sz w:val="24"/>
          <w:szCs w:val="24"/>
          <w:u w:val="single"/>
        </w:rPr>
        <w:t>（若在政府采购网上发出通知，则视为所有供应商都已收到招标文件的澄清、修改、补充等内容；无论其是否以书面形式回复）。</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4) 招标文件的澄清、修改、补充等内容均以书面形式或在山东省政府采购网、临沂政府采购网上通知明确的内容为准。当招标文件、招标文件的澄清、修改、补充等在同一内容的表述上不一致时，以最后发出的书面形式或在山东省政府采购网、临沂政府采购网上的通知为准</w:t>
      </w:r>
      <w:r>
        <w:rPr>
          <w:rFonts w:hint="eastAsia" w:ascii="宋体" w:hAnsi="宋体" w:cs="仿宋"/>
          <w:sz w:val="24"/>
          <w:szCs w:val="24"/>
          <w:u w:val="single"/>
        </w:rPr>
        <w:t>（若在政府采购网上发出通知，则视为所有供应商都已收到招标文件的澄清、修改、补充等内容）。</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5) 为使供应商编写响应文件时有充分的时间对招标文件的澄清、修改、补充等内容进行研究，采购代理机构有权推迟提交响应文件截止时间，但至少应当在招标文件要求提交响应文件的截止时间五日前，将变更时间书面通知所有招标文件收受人，并将此变更书面或在山东省政府采购网、临沂政府采购网上通知所有购买同一招标文件的供应商。</w:t>
      </w:r>
      <w:r>
        <w:rPr>
          <w:rFonts w:hint="eastAsia" w:ascii="宋体" w:hAnsi="宋体" w:cs="仿宋"/>
          <w:sz w:val="24"/>
          <w:szCs w:val="24"/>
          <w:u w:val="single"/>
        </w:rPr>
        <w:t>（若在政府采购网上发出通知，则视为所有供应商都已收到招标文件的澄清、修改、补充等内容）。</w:t>
      </w:r>
    </w:p>
    <w:p>
      <w:pPr>
        <w:topLinePunct/>
        <w:spacing w:line="460" w:lineRule="exact"/>
        <w:ind w:firstLine="360" w:firstLineChars="150"/>
        <w:rPr>
          <w:rFonts w:ascii="宋体" w:hAnsi="宋体"/>
        </w:rPr>
      </w:pPr>
      <w:r>
        <w:rPr>
          <w:rFonts w:hint="eastAsia" w:ascii="宋体" w:hAnsi="宋体" w:cs="仿宋"/>
          <w:sz w:val="24"/>
          <w:szCs w:val="24"/>
        </w:rPr>
        <w:t>6) 自招标文件发布至正式开标前，供应商除就招标文件问题与采购人进行咨询外，禁止以任何其他方式与采购人进行沟通接触，否则予以取消投标资格。</w:t>
      </w:r>
    </w:p>
    <w:p>
      <w:pPr>
        <w:pStyle w:val="8"/>
        <w:spacing w:before="0" w:after="0" w:line="240" w:lineRule="auto"/>
        <w:rPr>
          <w:sz w:val="24"/>
          <w:szCs w:val="24"/>
        </w:rPr>
      </w:pPr>
      <w:bookmarkStart w:id="14" w:name="_Toc511397044"/>
      <w:r>
        <w:rPr>
          <w:rFonts w:hint="eastAsia"/>
          <w:sz w:val="24"/>
          <w:szCs w:val="24"/>
        </w:rPr>
        <w:t>9.现场考察</w:t>
      </w:r>
      <w:bookmarkEnd w:id="14"/>
    </w:p>
    <w:p>
      <w:pPr>
        <w:topLinePunct/>
        <w:spacing w:line="460" w:lineRule="exact"/>
        <w:ind w:firstLine="352" w:firstLineChars="147"/>
        <w:rPr>
          <w:rFonts w:ascii="宋体" w:hAnsi="宋体" w:cs="仿宋"/>
          <w:sz w:val="24"/>
          <w:szCs w:val="24"/>
        </w:rPr>
      </w:pPr>
      <w:r>
        <w:rPr>
          <w:rFonts w:hint="eastAsia" w:ascii="宋体" w:hAnsi="宋体" w:cs="仿宋"/>
          <w:sz w:val="24"/>
          <w:szCs w:val="24"/>
        </w:rPr>
        <w:t>无现场考察环节。</w:t>
      </w:r>
    </w:p>
    <w:p>
      <w:pPr>
        <w:pStyle w:val="8"/>
        <w:spacing w:before="0" w:after="0" w:line="240" w:lineRule="auto"/>
        <w:rPr>
          <w:sz w:val="24"/>
          <w:szCs w:val="24"/>
        </w:rPr>
      </w:pPr>
      <w:bookmarkStart w:id="15" w:name="_Toc511397045"/>
      <w:r>
        <w:rPr>
          <w:rFonts w:hint="eastAsia"/>
          <w:sz w:val="24"/>
          <w:szCs w:val="24"/>
        </w:rPr>
        <w:t>10.解释权</w:t>
      </w:r>
      <w:bookmarkEnd w:id="15"/>
    </w:p>
    <w:p>
      <w:pPr>
        <w:topLinePunct/>
        <w:spacing w:line="460" w:lineRule="exact"/>
        <w:ind w:firstLine="360" w:firstLineChars="150"/>
        <w:rPr>
          <w:rFonts w:ascii="宋体" w:hAnsi="宋体" w:cs="仿宋"/>
          <w:sz w:val="24"/>
          <w:szCs w:val="24"/>
        </w:rPr>
      </w:pPr>
      <w:r>
        <w:rPr>
          <w:rFonts w:hint="eastAsia" w:ascii="宋体" w:hAnsi="宋体" w:cs="仿宋"/>
          <w:sz w:val="24"/>
          <w:szCs w:val="24"/>
        </w:rPr>
        <w:t>1) 本次采购的最终解释权归采购代理机构，当对一个问题有多种解释时以采购代理机构的书面解释为准。</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2) 招标文件未做须知明示，而又有相关法律、法规规定的，以涉及到的相关法律、法规的规定为依据处理。</w:t>
      </w:r>
    </w:p>
    <w:p>
      <w:pPr>
        <w:pStyle w:val="8"/>
        <w:spacing w:before="0" w:after="0" w:line="240" w:lineRule="auto"/>
        <w:rPr>
          <w:sz w:val="24"/>
          <w:szCs w:val="24"/>
        </w:rPr>
      </w:pPr>
      <w:bookmarkStart w:id="16" w:name="_Toc511397046"/>
      <w:r>
        <w:rPr>
          <w:rFonts w:hint="eastAsia"/>
          <w:sz w:val="24"/>
          <w:szCs w:val="24"/>
        </w:rPr>
        <w:t>11.招标文件的约束力</w:t>
      </w:r>
      <w:bookmarkEnd w:id="16"/>
    </w:p>
    <w:p>
      <w:pPr>
        <w:spacing w:line="460" w:lineRule="exact"/>
        <w:ind w:firstLine="360" w:firstLineChars="150"/>
        <w:rPr>
          <w:rFonts w:ascii="宋体" w:hAnsi="宋体" w:cs="仿宋"/>
          <w:sz w:val="24"/>
          <w:szCs w:val="24"/>
        </w:rPr>
      </w:pPr>
      <w:r>
        <w:rPr>
          <w:rFonts w:hint="eastAsia" w:ascii="宋体" w:hAnsi="宋体" w:cs="仿宋"/>
          <w:sz w:val="24"/>
          <w:szCs w:val="24"/>
        </w:rPr>
        <w:t>供应商一旦参加本项目投标，即被认为接受了本招标文件的所有条件和规定。</w:t>
      </w:r>
    </w:p>
    <w:p>
      <w:pPr>
        <w:topLinePunct/>
        <w:spacing w:line="460" w:lineRule="exact"/>
        <w:rPr>
          <w:rFonts w:ascii="宋体" w:hAnsi="宋体" w:cs="仿宋"/>
          <w:sz w:val="24"/>
          <w:szCs w:val="24"/>
        </w:rPr>
      </w:pPr>
    </w:p>
    <w:p>
      <w:pPr>
        <w:pStyle w:val="7"/>
      </w:pPr>
      <w:bookmarkStart w:id="17" w:name="_Toc511397047"/>
      <w:r>
        <w:rPr>
          <w:rFonts w:hint="eastAsia"/>
        </w:rPr>
        <w:t>三、响应文件的编制</w:t>
      </w:r>
      <w:bookmarkEnd w:id="17"/>
    </w:p>
    <w:p>
      <w:pPr>
        <w:pStyle w:val="8"/>
        <w:spacing w:before="0" w:after="0" w:line="240" w:lineRule="auto"/>
        <w:rPr>
          <w:sz w:val="24"/>
          <w:szCs w:val="24"/>
        </w:rPr>
      </w:pPr>
      <w:bookmarkStart w:id="18" w:name="_Toc511397048"/>
      <w:r>
        <w:rPr>
          <w:rFonts w:hint="eastAsia"/>
          <w:sz w:val="24"/>
          <w:szCs w:val="24"/>
        </w:rPr>
        <w:t>12.响应文件的组成</w:t>
      </w:r>
      <w:bookmarkEnd w:id="18"/>
    </w:p>
    <w:p>
      <w:pPr>
        <w:topLinePunct/>
        <w:spacing w:line="460" w:lineRule="exact"/>
        <w:ind w:firstLine="360" w:firstLineChars="150"/>
        <w:rPr>
          <w:rFonts w:ascii="宋体" w:hAnsi="宋体" w:cs="仿宋"/>
          <w:sz w:val="24"/>
          <w:szCs w:val="24"/>
        </w:rPr>
      </w:pPr>
      <w:r>
        <w:rPr>
          <w:rFonts w:hint="eastAsia" w:ascii="宋体" w:hAnsi="宋体" w:cs="仿宋"/>
          <w:sz w:val="24"/>
          <w:szCs w:val="24"/>
        </w:rPr>
        <w:t>1) 供应商编制的响应文件必须符合有关法律、法规的要求。供应商应仔细阅读招标文件的所有内容，按招标文件的要求提供响应文件，并保证所提供的全部资料的真实性、准确性及完整性，以使其响应文件对招标文件做出实质性响应。如供应商未能按招标文件要求提交全部资料，或没有按照招标文件要求做出实质性响应，磋商小组有权取消其成交资格。</w:t>
      </w:r>
    </w:p>
    <w:p>
      <w:pPr>
        <w:topLinePunct/>
        <w:spacing w:line="460" w:lineRule="exact"/>
        <w:ind w:left="360"/>
        <w:rPr>
          <w:rFonts w:ascii="宋体" w:hAnsi="宋体" w:cs="仿宋"/>
          <w:sz w:val="24"/>
          <w:szCs w:val="24"/>
        </w:rPr>
      </w:pPr>
      <w:r>
        <w:rPr>
          <w:rFonts w:hint="eastAsia" w:ascii="宋体" w:hAnsi="宋体" w:cs="仿宋"/>
          <w:sz w:val="24"/>
          <w:szCs w:val="24"/>
        </w:rPr>
        <w:t>2) 响应文件由商务部分和技术部分组成。</w:t>
      </w:r>
    </w:p>
    <w:p>
      <w:pPr>
        <w:topLinePunct/>
        <w:spacing w:line="460" w:lineRule="exact"/>
        <w:ind w:left="360"/>
        <w:rPr>
          <w:rFonts w:ascii="宋体" w:hAnsi="宋体" w:cs="仿宋"/>
          <w:b/>
          <w:color w:val="000000"/>
          <w:sz w:val="24"/>
          <w:szCs w:val="24"/>
        </w:rPr>
      </w:pPr>
      <w:r>
        <w:rPr>
          <w:rFonts w:hint="eastAsia" w:ascii="宋体" w:hAnsi="宋体" w:cs="仿宋"/>
          <w:b/>
          <w:color w:val="000000"/>
          <w:sz w:val="24"/>
          <w:szCs w:val="24"/>
        </w:rPr>
        <w:t>3) 商务部分内容：</w:t>
      </w:r>
    </w:p>
    <w:p>
      <w:pPr>
        <w:topLinePunct/>
        <w:spacing w:line="440" w:lineRule="exact"/>
        <w:ind w:firstLine="480" w:firstLineChars="200"/>
        <w:rPr>
          <w:rFonts w:ascii="宋体" w:hAnsi="宋体"/>
          <w:sz w:val="24"/>
        </w:rPr>
      </w:pPr>
      <w:r>
        <w:rPr>
          <w:rFonts w:hint="eastAsia" w:ascii="宋体" w:hAnsi="宋体" w:cs="宋体"/>
          <w:sz w:val="24"/>
        </w:rPr>
        <w:t>3.1投标文件资料真实性声明（格式见附件）</w:t>
      </w:r>
    </w:p>
    <w:p>
      <w:pPr>
        <w:topLinePunct/>
        <w:spacing w:line="440" w:lineRule="exact"/>
        <w:ind w:firstLine="480" w:firstLineChars="200"/>
        <w:rPr>
          <w:rFonts w:ascii="宋体" w:hAnsi="宋体"/>
          <w:sz w:val="24"/>
        </w:rPr>
      </w:pPr>
      <w:r>
        <w:rPr>
          <w:rFonts w:hint="eastAsia" w:ascii="宋体" w:hAnsi="宋体"/>
          <w:sz w:val="24"/>
        </w:rPr>
        <w:t>3.2商务标书目录</w:t>
      </w:r>
    </w:p>
    <w:p>
      <w:pPr>
        <w:topLinePunct/>
        <w:spacing w:line="440" w:lineRule="exact"/>
        <w:ind w:firstLine="480" w:firstLineChars="200"/>
        <w:rPr>
          <w:rFonts w:ascii="宋体" w:hAnsi="宋体"/>
          <w:sz w:val="24"/>
        </w:rPr>
      </w:pPr>
      <w:r>
        <w:rPr>
          <w:rFonts w:hint="eastAsia" w:ascii="宋体" w:hAnsi="宋体"/>
          <w:sz w:val="24"/>
        </w:rPr>
        <w:t>3.3法定代表人或其授权委托代理人签署的报价函</w:t>
      </w:r>
    </w:p>
    <w:p>
      <w:pPr>
        <w:topLinePunct/>
        <w:spacing w:line="440" w:lineRule="exact"/>
        <w:ind w:firstLine="480" w:firstLineChars="200"/>
        <w:rPr>
          <w:rFonts w:ascii="宋体" w:hAnsi="宋体"/>
          <w:sz w:val="24"/>
        </w:rPr>
      </w:pPr>
      <w:r>
        <w:rPr>
          <w:rFonts w:hint="eastAsia" w:ascii="宋体" w:hAnsi="宋体"/>
          <w:sz w:val="24"/>
        </w:rPr>
        <w:t>3.4法定代表人授权委托书原件（法定代表人参加本项目的投标时，无需填写法定代表人授权委托书，但须在投标文件中附法定代表人的身份证复印件；）</w:t>
      </w:r>
    </w:p>
    <w:p>
      <w:pPr>
        <w:topLinePunct/>
        <w:spacing w:line="440" w:lineRule="exact"/>
        <w:ind w:firstLine="482" w:firstLineChars="200"/>
        <w:rPr>
          <w:rFonts w:ascii="宋体" w:hAnsi="宋体"/>
          <w:b/>
          <w:sz w:val="24"/>
        </w:rPr>
      </w:pPr>
      <w:r>
        <w:rPr>
          <w:rFonts w:hint="eastAsia" w:ascii="宋体" w:hAnsi="宋体"/>
          <w:b/>
          <w:sz w:val="24"/>
        </w:rPr>
        <w:t>3.5法定代表人或其授权委托代理人签署的报价一览表并另外单独封装三份；</w:t>
      </w:r>
    </w:p>
    <w:p>
      <w:pPr>
        <w:topLinePunct/>
        <w:spacing w:line="440" w:lineRule="exact"/>
        <w:ind w:firstLine="480" w:firstLineChars="200"/>
        <w:rPr>
          <w:rFonts w:ascii="宋体" w:hAnsi="宋体"/>
          <w:sz w:val="24"/>
        </w:rPr>
      </w:pPr>
      <w:r>
        <w:rPr>
          <w:rFonts w:hint="eastAsia" w:ascii="宋体" w:hAnsi="宋体"/>
          <w:sz w:val="24"/>
        </w:rPr>
        <w:t>3.6投标人基本情况表</w:t>
      </w:r>
    </w:p>
    <w:p>
      <w:pPr>
        <w:pStyle w:val="2"/>
        <w:ind w:firstLine="480"/>
      </w:pPr>
      <w:r>
        <w:rPr>
          <w:rFonts w:hint="eastAsia"/>
        </w:rPr>
        <w:t>3.7财务状况报告（经审计的财务报告，或基本开户银行出具的资信证明）；</w:t>
      </w:r>
    </w:p>
    <w:p>
      <w:pPr>
        <w:pStyle w:val="2"/>
        <w:ind w:firstLine="480"/>
      </w:pPr>
      <w:r>
        <w:rPr>
          <w:rFonts w:hint="eastAsia"/>
        </w:rPr>
        <w:t>3.8依法缴纳税收和社会保障资金的相关材料。缴纳增值税、营业税和企业所得税的凭据；缴纳社会保险的凭据（专用收据或社会保险缴纳清单）。</w:t>
      </w:r>
    </w:p>
    <w:p>
      <w:pPr>
        <w:pStyle w:val="2"/>
        <w:ind w:firstLine="480"/>
      </w:pPr>
      <w:r>
        <w:rPr>
          <w:rFonts w:hint="eastAsia"/>
        </w:rPr>
        <w:t>3.9参加政府采购活动前3年内在经营活动中没有重大违法记录的书面声明。</w:t>
      </w:r>
    </w:p>
    <w:p>
      <w:pPr>
        <w:pStyle w:val="2"/>
        <w:ind w:firstLine="480"/>
      </w:pPr>
      <w:r>
        <w:rPr>
          <w:rFonts w:hint="eastAsia"/>
        </w:rPr>
        <w:t>3.10同类设备装机情况汇总表（见附件）</w:t>
      </w:r>
    </w:p>
    <w:p>
      <w:pPr>
        <w:pStyle w:val="2"/>
        <w:ind w:firstLine="480"/>
        <w:rPr>
          <w:rFonts w:ascii="宋体" w:hAnsi="宋体"/>
        </w:rPr>
      </w:pPr>
      <w:r>
        <w:rPr>
          <w:rFonts w:hint="eastAsia" w:ascii="宋体" w:hAnsi="宋体"/>
        </w:rPr>
        <w:t>3.11商务条款偏离表</w:t>
      </w:r>
    </w:p>
    <w:p>
      <w:pPr>
        <w:topLinePunct/>
        <w:spacing w:line="440" w:lineRule="exact"/>
        <w:ind w:firstLine="480" w:firstLineChars="200"/>
        <w:rPr>
          <w:rFonts w:ascii="宋体" w:hAnsi="宋体"/>
          <w:sz w:val="24"/>
        </w:rPr>
      </w:pPr>
      <w:r>
        <w:rPr>
          <w:rFonts w:hint="eastAsia" w:ascii="宋体" w:hAnsi="宋体"/>
          <w:sz w:val="24"/>
        </w:rPr>
        <w:t>3.12资格资质证明材料</w:t>
      </w:r>
    </w:p>
    <w:p>
      <w:pPr>
        <w:numPr>
          <w:ilvl w:val="2"/>
          <w:numId w:val="5"/>
        </w:numPr>
        <w:topLinePunct/>
        <w:spacing w:line="440" w:lineRule="exact"/>
        <w:rPr>
          <w:rFonts w:ascii="宋体" w:hAnsi="宋体"/>
          <w:color w:val="000000"/>
          <w:sz w:val="24"/>
          <w:szCs w:val="22"/>
        </w:rPr>
      </w:pPr>
      <w:r>
        <w:rPr>
          <w:rFonts w:hint="eastAsia" w:ascii="宋体" w:hAnsi="宋体"/>
          <w:color w:val="000000"/>
          <w:sz w:val="24"/>
          <w:szCs w:val="22"/>
        </w:rPr>
        <w:t>投标人营业执照副本、税务登记证副本、组织机构代码证副本（三证合一的只提供营业执照副本）原件；</w:t>
      </w:r>
    </w:p>
    <w:p>
      <w:pPr>
        <w:numPr>
          <w:ilvl w:val="2"/>
          <w:numId w:val="5"/>
        </w:numPr>
        <w:topLinePunct/>
        <w:spacing w:line="440" w:lineRule="exact"/>
        <w:rPr>
          <w:rFonts w:ascii="宋体" w:hAnsi="宋体"/>
          <w:color w:val="000000"/>
          <w:sz w:val="24"/>
          <w:szCs w:val="22"/>
        </w:rPr>
      </w:pPr>
      <w:r>
        <w:rPr>
          <w:rFonts w:hint="eastAsia" w:ascii="宋体" w:hAnsi="宋体"/>
          <w:color w:val="000000"/>
          <w:sz w:val="24"/>
          <w:szCs w:val="22"/>
        </w:rPr>
        <w:t>投标人医疗器械经营（生产）许可证或备案证原件、投标设备医疗器械注册证和说明书原件复印件加盖厂家公章；</w:t>
      </w:r>
    </w:p>
    <w:p>
      <w:pPr>
        <w:numPr>
          <w:ilvl w:val="2"/>
          <w:numId w:val="5"/>
        </w:numPr>
        <w:topLinePunct/>
        <w:spacing w:line="440" w:lineRule="exact"/>
        <w:rPr>
          <w:rFonts w:ascii="宋体" w:hAnsi="宋体"/>
          <w:color w:val="000000"/>
          <w:sz w:val="24"/>
          <w:szCs w:val="22"/>
        </w:rPr>
      </w:pPr>
      <w:r>
        <w:rPr>
          <w:rFonts w:hint="eastAsia" w:ascii="宋体" w:hAnsi="宋体"/>
          <w:color w:val="000000"/>
          <w:sz w:val="24"/>
          <w:szCs w:val="22"/>
        </w:rPr>
        <w:t>投标人所投产品为进口产品的必须提供生产厂家或中国境内总代理商对于本项目的授权书（原件）</w:t>
      </w:r>
    </w:p>
    <w:p>
      <w:pPr>
        <w:numPr>
          <w:ilvl w:val="2"/>
          <w:numId w:val="5"/>
        </w:numPr>
        <w:topLinePunct/>
        <w:spacing w:line="440" w:lineRule="exact"/>
        <w:rPr>
          <w:rFonts w:ascii="宋体" w:hAnsi="宋体"/>
          <w:color w:val="000000"/>
          <w:sz w:val="24"/>
          <w:szCs w:val="22"/>
        </w:rPr>
      </w:pPr>
      <w:r>
        <w:rPr>
          <w:rFonts w:hint="eastAsia" w:ascii="宋体" w:hAnsi="宋体"/>
          <w:color w:val="000000"/>
          <w:sz w:val="24"/>
          <w:szCs w:val="22"/>
        </w:rPr>
        <w:t>投标设备生产厂家医疗器械生产经营许可证复印件加盖厂家公章，生产厂家营业执照副本、税务登记证副本、组织机构代码证副本（三证合一的只提供营业执照副本）复印件加盖厂家公章；</w:t>
      </w:r>
    </w:p>
    <w:p>
      <w:pPr>
        <w:numPr>
          <w:ilvl w:val="2"/>
          <w:numId w:val="5"/>
        </w:numPr>
        <w:topLinePunct/>
        <w:spacing w:line="440" w:lineRule="exact"/>
        <w:rPr>
          <w:rFonts w:ascii="宋体" w:hAnsi="宋体"/>
          <w:color w:val="000000"/>
          <w:sz w:val="24"/>
          <w:szCs w:val="22"/>
        </w:rPr>
      </w:pPr>
      <w:r>
        <w:rPr>
          <w:rFonts w:hint="eastAsia" w:ascii="宋体" w:hAnsi="宋体"/>
          <w:color w:val="000000"/>
          <w:sz w:val="24"/>
          <w:szCs w:val="22"/>
        </w:rPr>
        <w:t>非临沂地区的投标人须在临沂或山东省内其他地区设有售后服务机构证明材料原件；</w:t>
      </w:r>
    </w:p>
    <w:p>
      <w:pPr>
        <w:numPr>
          <w:ilvl w:val="2"/>
          <w:numId w:val="5"/>
        </w:numPr>
        <w:topLinePunct/>
        <w:spacing w:line="440" w:lineRule="exact"/>
        <w:rPr>
          <w:rFonts w:ascii="宋体" w:hAnsi="宋体"/>
          <w:color w:val="000000"/>
          <w:sz w:val="24"/>
          <w:szCs w:val="22"/>
        </w:rPr>
      </w:pPr>
      <w:r>
        <w:rPr>
          <w:rFonts w:hint="eastAsia" w:ascii="宋体" w:hAnsi="宋体"/>
          <w:color w:val="000000"/>
          <w:sz w:val="24"/>
          <w:szCs w:val="22"/>
        </w:rPr>
        <w:t>投标人认为需要提交的其它资格资质证明材料。</w:t>
      </w:r>
    </w:p>
    <w:p>
      <w:pPr>
        <w:topLinePunct/>
        <w:spacing w:line="460" w:lineRule="exact"/>
        <w:ind w:left="360"/>
        <w:rPr>
          <w:rFonts w:ascii="宋体" w:hAnsi="宋体" w:cs="仿宋"/>
          <w:b/>
          <w:color w:val="000000"/>
          <w:sz w:val="24"/>
          <w:szCs w:val="24"/>
        </w:rPr>
      </w:pPr>
      <w:r>
        <w:rPr>
          <w:rFonts w:hint="eastAsia" w:ascii="宋体" w:hAnsi="宋体" w:cs="仿宋"/>
          <w:b/>
          <w:color w:val="000000"/>
          <w:sz w:val="24"/>
          <w:szCs w:val="24"/>
        </w:rPr>
        <w:t>4) 技术部分内容：</w:t>
      </w:r>
    </w:p>
    <w:p>
      <w:pPr>
        <w:numPr>
          <w:ilvl w:val="0"/>
          <w:numId w:val="6"/>
        </w:numPr>
        <w:topLinePunct/>
        <w:spacing w:line="440" w:lineRule="exact"/>
        <w:rPr>
          <w:rFonts w:ascii="宋体" w:hAnsi="宋体"/>
          <w:sz w:val="24"/>
        </w:rPr>
      </w:pPr>
      <w:r>
        <w:rPr>
          <w:rFonts w:hint="eastAsia" w:ascii="宋体" w:hAnsi="宋体"/>
          <w:sz w:val="24"/>
        </w:rPr>
        <w:t>技术标书目录</w:t>
      </w:r>
    </w:p>
    <w:p>
      <w:pPr>
        <w:numPr>
          <w:ilvl w:val="0"/>
          <w:numId w:val="6"/>
        </w:numPr>
        <w:topLinePunct/>
        <w:spacing w:line="440" w:lineRule="exact"/>
        <w:rPr>
          <w:rFonts w:ascii="宋体" w:hAnsi="宋体"/>
          <w:sz w:val="24"/>
          <w:szCs w:val="22"/>
        </w:rPr>
      </w:pPr>
      <w:r>
        <w:rPr>
          <w:rFonts w:hint="eastAsia" w:ascii="宋体" w:hAnsi="宋体"/>
          <w:sz w:val="24"/>
          <w:szCs w:val="22"/>
        </w:rPr>
        <w:t>技术条款偏离表（格式见附件）；</w:t>
      </w:r>
    </w:p>
    <w:p>
      <w:pPr>
        <w:numPr>
          <w:ilvl w:val="0"/>
          <w:numId w:val="6"/>
        </w:numPr>
        <w:topLinePunct/>
        <w:spacing w:line="440" w:lineRule="exact"/>
        <w:rPr>
          <w:rFonts w:ascii="宋体" w:hAnsi="宋体"/>
          <w:sz w:val="24"/>
          <w:szCs w:val="22"/>
        </w:rPr>
      </w:pPr>
      <w:r>
        <w:rPr>
          <w:rFonts w:hint="eastAsia" w:ascii="宋体" w:hAnsi="宋体"/>
          <w:sz w:val="24"/>
          <w:szCs w:val="22"/>
        </w:rPr>
        <w:t>投标产品参数，投标人应对招标文件中提出的设备参数逐条做出响应，注明投标产品的实际情况。同时相关参数应在产品登记表和检测报告中体现。</w:t>
      </w:r>
    </w:p>
    <w:p>
      <w:pPr>
        <w:numPr>
          <w:ilvl w:val="0"/>
          <w:numId w:val="6"/>
        </w:numPr>
        <w:topLinePunct/>
        <w:spacing w:line="440" w:lineRule="exact"/>
        <w:rPr>
          <w:rFonts w:ascii="宋体" w:hAnsi="宋体"/>
          <w:sz w:val="24"/>
          <w:szCs w:val="22"/>
        </w:rPr>
      </w:pPr>
      <w:r>
        <w:rPr>
          <w:rFonts w:hint="eastAsia" w:ascii="宋体" w:hAnsi="宋体"/>
          <w:sz w:val="24"/>
          <w:szCs w:val="22"/>
        </w:rPr>
        <w:t>投标产品说明：投标人应对拟提供的产品进行描述，包括产品检测报告等，证明与招标文件的要求相一致的文件可以是文字说明、产品图样册等；</w:t>
      </w:r>
    </w:p>
    <w:p>
      <w:pPr>
        <w:numPr>
          <w:ilvl w:val="0"/>
          <w:numId w:val="6"/>
        </w:numPr>
        <w:topLinePunct/>
        <w:spacing w:line="440" w:lineRule="exact"/>
        <w:rPr>
          <w:rFonts w:ascii="宋体" w:hAnsi="宋体"/>
          <w:sz w:val="24"/>
          <w:szCs w:val="22"/>
        </w:rPr>
      </w:pPr>
      <w:r>
        <w:rPr>
          <w:rFonts w:hint="eastAsia" w:ascii="宋体" w:hAnsi="宋体"/>
          <w:sz w:val="24"/>
          <w:szCs w:val="22"/>
        </w:rPr>
        <w:t>产品供货安装实施方案及进度安排，包括：产品的生产采购、供应实施计划、现场服务支持、售后服务的程序、内容及措施；</w:t>
      </w:r>
    </w:p>
    <w:p>
      <w:pPr>
        <w:numPr>
          <w:ilvl w:val="0"/>
          <w:numId w:val="6"/>
        </w:numPr>
        <w:topLinePunct/>
        <w:spacing w:line="440" w:lineRule="exact"/>
        <w:rPr>
          <w:rFonts w:ascii="宋体" w:hAnsi="宋体"/>
          <w:sz w:val="24"/>
          <w:szCs w:val="22"/>
        </w:rPr>
      </w:pPr>
      <w:r>
        <w:rPr>
          <w:rFonts w:hint="eastAsia" w:ascii="宋体" w:hAnsi="宋体"/>
          <w:sz w:val="24"/>
          <w:szCs w:val="22"/>
        </w:rPr>
        <w:t>投标人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w:t>
      </w:r>
    </w:p>
    <w:p>
      <w:pPr>
        <w:numPr>
          <w:ilvl w:val="0"/>
          <w:numId w:val="6"/>
        </w:numPr>
        <w:topLinePunct/>
        <w:spacing w:line="440" w:lineRule="exact"/>
        <w:rPr>
          <w:rFonts w:ascii="宋体" w:hAnsi="宋体"/>
          <w:sz w:val="24"/>
          <w:szCs w:val="22"/>
        </w:rPr>
      </w:pPr>
      <w:r>
        <w:rPr>
          <w:rFonts w:hint="eastAsia" w:ascii="宋体" w:hAnsi="宋体"/>
          <w:sz w:val="24"/>
          <w:szCs w:val="22"/>
        </w:rPr>
        <w:t>投标人应提供货物安装和检修所需要专用工具等，并在投标文件中给出具体清单</w:t>
      </w:r>
    </w:p>
    <w:p>
      <w:pPr>
        <w:numPr>
          <w:ilvl w:val="0"/>
          <w:numId w:val="6"/>
        </w:numPr>
        <w:topLinePunct/>
        <w:spacing w:line="440" w:lineRule="exact"/>
        <w:rPr>
          <w:rFonts w:ascii="宋体" w:hAnsi="宋体"/>
          <w:sz w:val="24"/>
          <w:szCs w:val="22"/>
        </w:rPr>
      </w:pPr>
      <w:r>
        <w:rPr>
          <w:rFonts w:hint="eastAsia" w:ascii="宋体" w:hAnsi="宋体"/>
          <w:sz w:val="24"/>
          <w:szCs w:val="22"/>
        </w:rPr>
        <w:t>投标人应当列明所投产品的生产厂家、规格型号、单价、数量和详细参数，以上内容应当书写完整，否则评标委员会有权据此按无效投标处理。严禁照抄招标文件参数，凡投标文件所列品牌型号、参数与所投实际不符且可能影响中标结果的，一律作无效投标处理，并依法追究投标人弄虚作假的法律责任。</w:t>
      </w:r>
    </w:p>
    <w:p>
      <w:pPr>
        <w:numPr>
          <w:ilvl w:val="0"/>
          <w:numId w:val="6"/>
        </w:numPr>
        <w:topLinePunct/>
        <w:spacing w:line="440" w:lineRule="exact"/>
        <w:rPr>
          <w:rFonts w:ascii="宋体" w:hAnsi="宋体"/>
          <w:sz w:val="24"/>
          <w:szCs w:val="22"/>
        </w:rPr>
      </w:pPr>
      <w:r>
        <w:rPr>
          <w:rFonts w:hint="eastAsia" w:ascii="宋体" w:hAnsi="宋体"/>
          <w:sz w:val="24"/>
          <w:szCs w:val="22"/>
        </w:rPr>
        <w:t>投标人认为需加以说明的其它内容（如对招标文件中所提出服务内容和有关要求的承诺、投标人优势分析、保证产品质量的措施等）。</w:t>
      </w:r>
    </w:p>
    <w:p>
      <w:pPr>
        <w:numPr>
          <w:ilvl w:val="0"/>
          <w:numId w:val="6"/>
        </w:numPr>
        <w:topLinePunct/>
        <w:spacing w:line="440" w:lineRule="exact"/>
        <w:rPr>
          <w:rFonts w:ascii="宋体" w:hAnsi="宋体"/>
          <w:sz w:val="24"/>
          <w:szCs w:val="22"/>
        </w:rPr>
      </w:pPr>
      <w:r>
        <w:rPr>
          <w:rFonts w:hint="eastAsia" w:ascii="宋体" w:hAnsi="宋体"/>
          <w:sz w:val="24"/>
          <w:szCs w:val="22"/>
        </w:rPr>
        <w:t>售后服务：投标投标人应做出利于用户的服务承诺。</w:t>
      </w:r>
    </w:p>
    <w:p>
      <w:pPr>
        <w:topLinePunct/>
        <w:spacing w:line="460" w:lineRule="exact"/>
        <w:ind w:left="360"/>
        <w:rPr>
          <w:rFonts w:ascii="宋体" w:hAnsi="宋体" w:cs="仿宋"/>
          <w:b/>
          <w:sz w:val="24"/>
          <w:szCs w:val="24"/>
        </w:rPr>
      </w:pPr>
      <w:r>
        <w:rPr>
          <w:rFonts w:hint="eastAsia" w:ascii="宋体" w:hAnsi="宋体" w:cs="仿宋"/>
          <w:b/>
          <w:color w:val="000000"/>
          <w:sz w:val="24"/>
          <w:szCs w:val="24"/>
        </w:rPr>
        <w:t>5) 报价</w:t>
      </w:r>
      <w:r>
        <w:rPr>
          <w:rFonts w:hint="eastAsia" w:ascii="宋体" w:hAnsi="宋体" w:cs="仿宋"/>
          <w:b/>
          <w:sz w:val="24"/>
          <w:szCs w:val="24"/>
        </w:rPr>
        <w:t>密封袋</w:t>
      </w:r>
    </w:p>
    <w:p>
      <w:pPr>
        <w:topLinePunct/>
        <w:spacing w:line="460" w:lineRule="exact"/>
        <w:ind w:firstLine="480" w:firstLineChars="200"/>
        <w:rPr>
          <w:rFonts w:ascii="宋体" w:hAnsi="宋体" w:cs="仿宋"/>
          <w:sz w:val="24"/>
          <w:szCs w:val="24"/>
        </w:rPr>
      </w:pPr>
      <w:r>
        <w:rPr>
          <w:rFonts w:hint="eastAsia" w:ascii="宋体" w:hAnsi="宋体" w:cs="仿宋"/>
          <w:sz w:val="24"/>
          <w:szCs w:val="24"/>
        </w:rPr>
        <w:t>供应商需准备响应文件一式四份（一正三副，《公开报价一览表》一式三份（格式见附件），《公开报价一览表》须加盖公章，用密封袋单独密封。在密封袋封面加盖供应商公章并注明报价一览表、项目名称、供应商名称，与响应文件同时提交。</w:t>
      </w:r>
    </w:p>
    <w:p>
      <w:pPr>
        <w:pStyle w:val="8"/>
        <w:spacing w:before="0" w:after="0" w:line="240" w:lineRule="auto"/>
        <w:rPr>
          <w:sz w:val="24"/>
          <w:szCs w:val="24"/>
        </w:rPr>
      </w:pPr>
      <w:bookmarkStart w:id="19" w:name="_Toc511397049"/>
      <w:r>
        <w:rPr>
          <w:rFonts w:hint="eastAsia"/>
          <w:sz w:val="24"/>
          <w:szCs w:val="24"/>
        </w:rPr>
        <w:t>13.响应文件格式</w:t>
      </w:r>
      <w:bookmarkEnd w:id="19"/>
    </w:p>
    <w:p>
      <w:pPr>
        <w:topLinePunct/>
        <w:spacing w:line="460" w:lineRule="exact"/>
        <w:ind w:firstLine="360" w:firstLineChars="150"/>
        <w:rPr>
          <w:rFonts w:ascii="宋体" w:hAnsi="宋体" w:cs="仿宋"/>
          <w:sz w:val="24"/>
          <w:szCs w:val="24"/>
        </w:rPr>
      </w:pPr>
      <w:r>
        <w:rPr>
          <w:rFonts w:hint="eastAsia" w:ascii="宋体" w:hAnsi="宋体" w:cs="仿宋"/>
          <w:sz w:val="24"/>
          <w:szCs w:val="24"/>
        </w:rPr>
        <w:t xml:space="preserve"> 响应文件包括本须知中规定的内容，供应商提交的响应文件应当使用招标文件所提供的格式（可以相同格式扩展或另行编写，但不得删减内容或与本须知</w:t>
      </w:r>
      <w:r>
        <w:rPr>
          <w:rFonts w:hint="eastAsia" w:ascii="宋体" w:hAnsi="宋体" w:cs="仿宋"/>
          <w:color w:val="000000"/>
          <w:sz w:val="24"/>
          <w:szCs w:val="24"/>
        </w:rPr>
        <w:t>第12条</w:t>
      </w:r>
      <w:r>
        <w:rPr>
          <w:rFonts w:hint="eastAsia" w:ascii="宋体" w:hAnsi="宋体" w:cs="仿宋"/>
          <w:sz w:val="24"/>
          <w:szCs w:val="24"/>
        </w:rPr>
        <w:t>的内容相悖）。</w:t>
      </w:r>
    </w:p>
    <w:p>
      <w:pPr>
        <w:pStyle w:val="8"/>
        <w:spacing w:before="0" w:after="0" w:line="240" w:lineRule="auto"/>
        <w:rPr>
          <w:sz w:val="24"/>
          <w:szCs w:val="24"/>
        </w:rPr>
      </w:pPr>
      <w:bookmarkStart w:id="20" w:name="_Toc511397050"/>
      <w:r>
        <w:rPr>
          <w:rFonts w:hint="eastAsia"/>
          <w:sz w:val="24"/>
          <w:szCs w:val="24"/>
        </w:rPr>
        <w:t>14.报价说明</w:t>
      </w:r>
      <w:bookmarkEnd w:id="20"/>
    </w:p>
    <w:p>
      <w:pPr>
        <w:tabs>
          <w:tab w:val="left" w:pos="0"/>
        </w:tabs>
        <w:topLinePunct/>
        <w:spacing w:line="440" w:lineRule="exact"/>
        <w:ind w:firstLine="480" w:firstLineChars="200"/>
        <w:rPr>
          <w:rFonts w:ascii="宋体" w:hAnsi="宋体" w:cs="宋体"/>
          <w:sz w:val="24"/>
        </w:rPr>
      </w:pPr>
      <w:bookmarkStart w:id="21" w:name="_Toc511397051"/>
      <w:r>
        <w:rPr>
          <w:rFonts w:hint="eastAsia" w:ascii="宋体" w:hAnsi="宋体" w:cs="宋体"/>
          <w:sz w:val="24"/>
        </w:rPr>
        <w:t>14.1投标人应根据招标代理机构提供的招标文件、各自情况等进行投标报价的编制，报价应包括招标范围内的全部内容，含货物（包括质保期内的备品备件、易损件、专用工具等）的设计、生产、包装、保险、运输、装卸、安装、调试、验收、培训、售后服务及技术支持、税费（含关税等各种税费）、合理利润等相关服务的所有费用。投标人应充分考虑本项目合同实施期间可能发生的一切费用，并承担由此而带来的风险。凡投标人在报价中未列明但又为货物所必备的项目或遗漏项目，招标人将一律视为已包括在其报价中，在合同执行中将不予考虑。</w:t>
      </w:r>
    </w:p>
    <w:p>
      <w:pPr>
        <w:tabs>
          <w:tab w:val="left" w:pos="0"/>
        </w:tabs>
        <w:topLinePunct/>
        <w:spacing w:line="440" w:lineRule="exact"/>
        <w:ind w:firstLine="480" w:firstLineChars="200"/>
        <w:rPr>
          <w:rFonts w:ascii="宋体" w:hAnsi="宋体" w:cs="宋体"/>
          <w:sz w:val="24"/>
          <w:u w:val="single"/>
        </w:rPr>
      </w:pPr>
      <w:r>
        <w:rPr>
          <w:rFonts w:hint="eastAsia" w:ascii="宋体" w:hAnsi="宋体" w:cs="宋体"/>
          <w:sz w:val="24"/>
          <w:u w:val="single"/>
        </w:rPr>
        <w:t>14.2根据财政部、发展改革委、生态环境部、市场监管总局《关于调整优化节能产品、环境标志产品政府采购执行机制的通知》（财库〔2019〕9号）的规定，拟采购的产品属于品目清单范围的，属于强制采购的，投报产品必须在品目清单范围内。如不在范围内后果自负。</w:t>
      </w:r>
    </w:p>
    <w:p>
      <w:pPr>
        <w:tabs>
          <w:tab w:val="left" w:pos="0"/>
        </w:tabs>
        <w:topLinePunct/>
        <w:spacing w:line="440" w:lineRule="exact"/>
        <w:ind w:firstLine="480" w:firstLineChars="200"/>
        <w:rPr>
          <w:rFonts w:ascii="宋体" w:hAnsi="宋体" w:cs="宋体"/>
          <w:sz w:val="24"/>
        </w:rPr>
      </w:pPr>
      <w:r>
        <w:rPr>
          <w:rFonts w:hint="eastAsia" w:ascii="宋体" w:hAnsi="宋体" w:cs="宋体"/>
          <w:sz w:val="24"/>
        </w:rPr>
        <w:t>14.3本次招标过程中，各合格投标人均有不超过三次的报价机会，每次报价以书面为准，最终报价为成交价。</w:t>
      </w:r>
    </w:p>
    <w:p>
      <w:pPr>
        <w:tabs>
          <w:tab w:val="left" w:pos="0"/>
        </w:tabs>
        <w:topLinePunct/>
        <w:spacing w:line="440" w:lineRule="exact"/>
        <w:ind w:firstLine="480" w:firstLineChars="200"/>
        <w:rPr>
          <w:rFonts w:ascii="宋体" w:hAnsi="宋体" w:cs="宋体"/>
          <w:sz w:val="24"/>
        </w:rPr>
      </w:pPr>
      <w:r>
        <w:rPr>
          <w:rFonts w:hint="eastAsia" w:ascii="宋体" w:hAnsi="宋体" w:cs="宋体"/>
          <w:sz w:val="24"/>
        </w:rPr>
        <w:t>14.4最低报价不是中标的唯一因素，投标人所报方案、产品的质量和服务等须符合招标文件的要求和规定。</w:t>
      </w:r>
    </w:p>
    <w:p>
      <w:pPr>
        <w:tabs>
          <w:tab w:val="left" w:pos="900"/>
        </w:tabs>
        <w:topLinePunct/>
        <w:spacing w:line="440" w:lineRule="exact"/>
        <w:ind w:firstLine="480" w:firstLineChars="200"/>
        <w:jc w:val="left"/>
        <w:rPr>
          <w:rFonts w:ascii="宋体" w:hAnsi="宋体" w:cs="宋体"/>
          <w:sz w:val="24"/>
        </w:rPr>
      </w:pPr>
      <w:r>
        <w:rPr>
          <w:rFonts w:hint="eastAsia" w:ascii="宋体" w:hAnsi="宋体" w:cs="宋体"/>
          <w:sz w:val="24"/>
        </w:rPr>
        <w:t>14.5开标时，《公开报价表》内容与投标文件中的相关内容必须一致，若不一致，以《公开报价表》为准。</w:t>
      </w:r>
    </w:p>
    <w:p>
      <w:pPr>
        <w:tabs>
          <w:tab w:val="left" w:pos="720"/>
          <w:tab w:val="left" w:pos="900"/>
          <w:tab w:val="left" w:pos="1080"/>
        </w:tabs>
        <w:topLinePunct/>
        <w:spacing w:line="440" w:lineRule="exact"/>
        <w:ind w:firstLine="480" w:firstLineChars="200"/>
        <w:jc w:val="left"/>
        <w:rPr>
          <w:rFonts w:ascii="宋体" w:hAnsi="宋体" w:cs="宋体"/>
          <w:sz w:val="24"/>
          <w:szCs w:val="24"/>
        </w:rPr>
      </w:pPr>
      <w:r>
        <w:rPr>
          <w:rFonts w:hint="eastAsia" w:ascii="宋体" w:hAnsi="宋体" w:cs="宋体"/>
          <w:sz w:val="24"/>
          <w:szCs w:val="24"/>
        </w:rPr>
        <w:t>14.6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按上述修正错误的原则及方法调整或修正投标文件的报价，投标人同意后，调整后的报价对投标人起约束作用。如果投标人不接受修正后的投标报价，则其报价将被拒绝。</w:t>
      </w:r>
    </w:p>
    <w:p>
      <w:pPr>
        <w:tabs>
          <w:tab w:val="left" w:pos="720"/>
          <w:tab w:val="left" w:pos="900"/>
          <w:tab w:val="left" w:pos="1080"/>
        </w:tabs>
        <w:topLinePunct/>
        <w:spacing w:line="440" w:lineRule="exact"/>
        <w:ind w:firstLine="482" w:firstLineChars="200"/>
        <w:jc w:val="left"/>
        <w:rPr>
          <w:rFonts w:ascii="宋体" w:hAnsi="宋体" w:cs="宋体"/>
          <w:b/>
          <w:sz w:val="24"/>
          <w:szCs w:val="24"/>
        </w:rPr>
      </w:pPr>
      <w:r>
        <w:rPr>
          <w:rFonts w:hint="eastAsia" w:ascii="宋体" w:hAnsi="宋体" w:cs="宋体"/>
          <w:b/>
          <w:bCs/>
          <w:sz w:val="24"/>
          <w:szCs w:val="24"/>
          <w:u w:val="single"/>
        </w:rPr>
        <w:t>14.7投标人不得低于设备成本价格报价，评标委员会认为投标人的报价明显低于其他通过符合性审查投标人的报价，有可能影响服务质量或者不能诚信履约的，应当要求其在评标现场合理的时间内提供书面说明，必要时提交相关证明材料（同型号设备进货发票等）；投标人不能证明其报价合理性的，评标委员会应当将其作为无效投标处理。</w:t>
      </w:r>
    </w:p>
    <w:p>
      <w:pPr>
        <w:tabs>
          <w:tab w:val="left" w:pos="720"/>
          <w:tab w:val="left" w:pos="900"/>
          <w:tab w:val="left" w:pos="1080"/>
        </w:tabs>
        <w:topLinePunct/>
        <w:spacing w:line="440" w:lineRule="exact"/>
        <w:ind w:firstLine="472" w:firstLineChars="196"/>
        <w:jc w:val="left"/>
        <w:rPr>
          <w:rFonts w:ascii="宋体" w:hAnsi="宋体" w:cs="宋体"/>
          <w:b/>
          <w:sz w:val="24"/>
          <w:szCs w:val="24"/>
          <w:u w:val="single"/>
        </w:rPr>
      </w:pPr>
      <w:r>
        <w:rPr>
          <w:rFonts w:hint="eastAsia" w:ascii="宋体" w:hAnsi="宋体" w:cs="宋体"/>
          <w:b/>
          <w:sz w:val="24"/>
          <w:szCs w:val="24"/>
          <w:u w:val="single"/>
        </w:rPr>
        <w:t>14.8本次招标不接受投标人以联合体形式投标且只能投报一个方案。</w:t>
      </w:r>
    </w:p>
    <w:p>
      <w:pPr>
        <w:tabs>
          <w:tab w:val="left" w:pos="720"/>
          <w:tab w:val="left" w:pos="900"/>
          <w:tab w:val="left" w:pos="1080"/>
        </w:tabs>
        <w:topLinePunct/>
        <w:spacing w:line="440" w:lineRule="exact"/>
        <w:ind w:firstLine="470" w:firstLineChars="196"/>
        <w:jc w:val="left"/>
        <w:rPr>
          <w:rFonts w:ascii="宋体" w:hAnsi="宋体" w:cs="宋体"/>
          <w:sz w:val="24"/>
          <w:szCs w:val="24"/>
        </w:rPr>
      </w:pPr>
      <w:r>
        <w:rPr>
          <w:rFonts w:hint="eastAsia" w:ascii="宋体" w:hAnsi="宋体" w:cs="宋体"/>
          <w:sz w:val="24"/>
          <w:szCs w:val="24"/>
        </w:rPr>
        <w:t>14.9投标人根据招标文件载明的标的采购项目实际情况，拟在中标后将中标项目的非主体、非关键性工作交由他人完成的，应当在投标文件中载明。</w:t>
      </w:r>
    </w:p>
    <w:p>
      <w:pPr>
        <w:pStyle w:val="8"/>
        <w:spacing w:before="0" w:after="0" w:line="240" w:lineRule="auto"/>
        <w:rPr>
          <w:sz w:val="24"/>
          <w:szCs w:val="24"/>
        </w:rPr>
      </w:pPr>
      <w:r>
        <w:rPr>
          <w:rFonts w:hint="eastAsia"/>
          <w:sz w:val="24"/>
          <w:szCs w:val="24"/>
        </w:rPr>
        <w:t>15.响应文件份数和签署</w:t>
      </w:r>
      <w:bookmarkEnd w:id="21"/>
    </w:p>
    <w:p>
      <w:pPr>
        <w:tabs>
          <w:tab w:val="left" w:pos="720"/>
        </w:tabs>
        <w:topLinePunct/>
        <w:spacing w:line="460" w:lineRule="exact"/>
        <w:ind w:firstLine="357" w:firstLineChars="149"/>
        <w:rPr>
          <w:rFonts w:ascii="宋体" w:hAnsi="宋体" w:cs="仿宋"/>
          <w:sz w:val="24"/>
          <w:szCs w:val="24"/>
        </w:rPr>
      </w:pPr>
      <w:r>
        <w:rPr>
          <w:rFonts w:hint="eastAsia" w:ascii="宋体" w:hAnsi="宋体" w:cs="仿宋"/>
          <w:sz w:val="24"/>
          <w:szCs w:val="24"/>
        </w:rPr>
        <w:t>1) 供应商应按照本须知要求，准</w:t>
      </w:r>
      <w:r>
        <w:rPr>
          <w:rFonts w:hint="eastAsia" w:ascii="宋体" w:hAnsi="宋体" w:cs="仿宋"/>
          <w:color w:val="000000"/>
          <w:sz w:val="24"/>
          <w:szCs w:val="24"/>
        </w:rPr>
        <w:t>备一式四份响应文件（一份正本、三份副本），每份响应文件须清楚地标明“正本”或“副本”字样。一旦正本和副本不符，</w:t>
      </w:r>
      <w:r>
        <w:rPr>
          <w:rFonts w:hint="eastAsia" w:ascii="宋体" w:hAnsi="宋体" w:cs="仿宋"/>
          <w:sz w:val="24"/>
          <w:szCs w:val="24"/>
        </w:rPr>
        <w:t>以正本为准。</w:t>
      </w:r>
    </w:p>
    <w:p>
      <w:pPr>
        <w:spacing w:line="460" w:lineRule="exact"/>
        <w:ind w:firstLine="360" w:firstLineChars="150"/>
        <w:rPr>
          <w:rFonts w:ascii="宋体" w:hAnsi="宋体" w:cs="仿宋"/>
          <w:sz w:val="24"/>
          <w:szCs w:val="24"/>
        </w:rPr>
      </w:pPr>
      <w:r>
        <w:rPr>
          <w:rFonts w:hint="eastAsia" w:ascii="宋体" w:hAnsi="宋体" w:cs="仿宋"/>
          <w:sz w:val="24"/>
          <w:szCs w:val="24"/>
        </w:rPr>
        <w:t>2) 响应文件的正本和所有的副本均需使用A4纸打印或复印，在招标文件要求签字的地方均由供应商法定代表人或其授权代表签字。响应文件正本中，由供应商加盖公章，或者由供应商法定代表人或授权代表签名，其中规定格式的文件应当按要求签名和加盖供应商公章。</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3) 除供应商对错处做必要修改外，响应文件不得行间插字、涂改或增删，如有修改错漏处，必须由响应文件签署人签字/盖章。</w:t>
      </w:r>
    </w:p>
    <w:p>
      <w:pPr>
        <w:pStyle w:val="8"/>
        <w:spacing w:before="0" w:after="0" w:line="240" w:lineRule="auto"/>
        <w:rPr>
          <w:sz w:val="24"/>
          <w:szCs w:val="24"/>
        </w:rPr>
      </w:pPr>
      <w:bookmarkStart w:id="22" w:name="_Toc511397052"/>
      <w:r>
        <w:rPr>
          <w:rFonts w:hint="eastAsia"/>
          <w:sz w:val="24"/>
          <w:szCs w:val="24"/>
        </w:rPr>
        <w:t>16.响应文件的密封和标记（格式见附件）</w:t>
      </w:r>
      <w:bookmarkEnd w:id="22"/>
    </w:p>
    <w:p>
      <w:pPr>
        <w:tabs>
          <w:tab w:val="left" w:pos="0"/>
        </w:tabs>
        <w:topLinePunct/>
        <w:spacing w:line="460" w:lineRule="exact"/>
        <w:ind w:firstLine="360" w:firstLineChars="150"/>
        <w:rPr>
          <w:rFonts w:ascii="宋体" w:hAnsi="宋体" w:cs="仿宋"/>
          <w:sz w:val="24"/>
          <w:szCs w:val="24"/>
        </w:rPr>
      </w:pPr>
      <w:r>
        <w:rPr>
          <w:rFonts w:hint="eastAsia" w:ascii="宋体" w:hAnsi="宋体" w:cs="仿宋"/>
          <w:sz w:val="24"/>
          <w:szCs w:val="24"/>
        </w:rPr>
        <w:t>1) 供应商应将响应文件正本和所有副本用密封袋密封，并在封口启封处加盖供应商单位公章或法定代表人/授权代表签署。</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2) 密封袋上应注明采购项目名称、项目编号及““请勿在2019年xx月xx日xx时之前启封”的字样。</w:t>
      </w:r>
    </w:p>
    <w:p>
      <w:pPr>
        <w:topLinePunct/>
        <w:spacing w:line="480" w:lineRule="exact"/>
        <w:rPr>
          <w:rFonts w:ascii="宋体" w:hAnsi="宋体" w:cs="仿宋"/>
          <w:sz w:val="24"/>
          <w:szCs w:val="24"/>
        </w:rPr>
      </w:pPr>
    </w:p>
    <w:p>
      <w:pPr>
        <w:pStyle w:val="7"/>
      </w:pPr>
      <w:bookmarkStart w:id="23" w:name="_Toc511397053"/>
      <w:r>
        <w:rPr>
          <w:rFonts w:hint="eastAsia"/>
        </w:rPr>
        <w:t>四、响应文件的递交</w:t>
      </w:r>
      <w:bookmarkEnd w:id="23"/>
    </w:p>
    <w:p>
      <w:pPr>
        <w:pStyle w:val="8"/>
        <w:spacing w:before="0" w:after="0" w:line="240" w:lineRule="auto"/>
        <w:rPr>
          <w:sz w:val="24"/>
          <w:szCs w:val="24"/>
        </w:rPr>
      </w:pPr>
      <w:bookmarkStart w:id="24" w:name="_Toc511397054"/>
      <w:r>
        <w:rPr>
          <w:rFonts w:hint="eastAsia"/>
          <w:sz w:val="24"/>
          <w:szCs w:val="24"/>
        </w:rPr>
        <w:t>17.响应文件的递交</w:t>
      </w:r>
      <w:bookmarkEnd w:id="24"/>
    </w:p>
    <w:p>
      <w:pPr>
        <w:topLinePunct/>
        <w:spacing w:line="460" w:lineRule="exact"/>
        <w:ind w:firstLine="360" w:firstLineChars="150"/>
        <w:rPr>
          <w:rFonts w:ascii="宋体" w:hAnsi="宋体" w:cs="仿宋"/>
          <w:sz w:val="24"/>
          <w:szCs w:val="24"/>
        </w:rPr>
      </w:pPr>
      <w:r>
        <w:rPr>
          <w:rFonts w:hint="eastAsia" w:ascii="宋体" w:hAnsi="宋体" w:cs="仿宋"/>
          <w:sz w:val="24"/>
          <w:szCs w:val="24"/>
        </w:rPr>
        <w:t xml:space="preserve"> 供应商应按招标文件第一章《招标公告》中规定的地点，于提交响应文件截止时间前递交响应文件。</w:t>
      </w:r>
    </w:p>
    <w:p>
      <w:pPr>
        <w:pStyle w:val="8"/>
        <w:spacing w:before="0" w:after="0" w:line="240" w:lineRule="auto"/>
        <w:rPr>
          <w:sz w:val="24"/>
          <w:szCs w:val="24"/>
        </w:rPr>
      </w:pPr>
      <w:bookmarkStart w:id="25" w:name="_Toc511397055"/>
      <w:r>
        <w:rPr>
          <w:rFonts w:hint="eastAsia"/>
          <w:sz w:val="24"/>
          <w:szCs w:val="24"/>
        </w:rPr>
        <w:t>18.迟交的响应文件</w:t>
      </w:r>
      <w:bookmarkEnd w:id="25"/>
    </w:p>
    <w:p>
      <w:pPr>
        <w:topLinePunct/>
        <w:spacing w:line="460" w:lineRule="exact"/>
        <w:ind w:firstLine="360" w:firstLineChars="150"/>
        <w:rPr>
          <w:rFonts w:ascii="宋体" w:hAnsi="宋体" w:cs="仿宋"/>
          <w:sz w:val="24"/>
          <w:szCs w:val="24"/>
        </w:rPr>
      </w:pPr>
      <w:r>
        <w:rPr>
          <w:rFonts w:hint="eastAsia" w:ascii="宋体" w:hAnsi="宋体" w:cs="仿宋"/>
          <w:sz w:val="24"/>
          <w:szCs w:val="24"/>
        </w:rPr>
        <w:t>采购代理机构将拒绝并原封退回在规定的提交响应文件截止时间后送达的任何响应文件。</w:t>
      </w:r>
    </w:p>
    <w:p>
      <w:pPr>
        <w:pStyle w:val="8"/>
        <w:spacing w:before="0" w:after="0" w:line="240" w:lineRule="auto"/>
        <w:rPr>
          <w:sz w:val="24"/>
          <w:szCs w:val="24"/>
        </w:rPr>
      </w:pPr>
      <w:bookmarkStart w:id="26" w:name="_Toc511397056"/>
      <w:r>
        <w:rPr>
          <w:rFonts w:hint="eastAsia"/>
          <w:sz w:val="24"/>
          <w:szCs w:val="24"/>
        </w:rPr>
        <w:t>19.响应文件的补充、修改和撤回</w:t>
      </w:r>
      <w:bookmarkEnd w:id="26"/>
    </w:p>
    <w:p>
      <w:pPr>
        <w:tabs>
          <w:tab w:val="left" w:pos="0"/>
        </w:tabs>
        <w:topLinePunct/>
        <w:spacing w:line="460" w:lineRule="exact"/>
        <w:ind w:left="1" w:firstLine="360" w:firstLineChars="150"/>
        <w:rPr>
          <w:rFonts w:ascii="宋体" w:hAnsi="宋体" w:cs="仿宋"/>
          <w:sz w:val="24"/>
          <w:szCs w:val="24"/>
        </w:rPr>
      </w:pPr>
      <w:r>
        <w:rPr>
          <w:rFonts w:hint="eastAsia" w:ascii="宋体" w:hAnsi="宋体" w:cs="仿宋"/>
          <w:sz w:val="24"/>
          <w:szCs w:val="24"/>
        </w:rPr>
        <w:t>1) 供应商在递交响应文件后，在规定的提交响应文件截止时间前，可以以书面形式补充修改或撤回已提交的响应文件，并以书面形式递交至采购代理机构，修改或撤回其响应文件。补充、修改的内容为其响应文件的组成部分。</w:t>
      </w:r>
    </w:p>
    <w:p>
      <w:pPr>
        <w:tabs>
          <w:tab w:val="left" w:pos="720"/>
        </w:tabs>
        <w:topLinePunct/>
        <w:spacing w:line="460" w:lineRule="exact"/>
        <w:ind w:firstLine="360" w:firstLineChars="150"/>
        <w:rPr>
          <w:rFonts w:ascii="宋体" w:hAnsi="宋体" w:cs="仿宋"/>
          <w:sz w:val="24"/>
          <w:szCs w:val="24"/>
        </w:rPr>
      </w:pPr>
      <w:r>
        <w:rPr>
          <w:rFonts w:hint="eastAsia" w:ascii="宋体" w:hAnsi="宋体" w:cs="仿宋"/>
          <w:sz w:val="24"/>
          <w:szCs w:val="24"/>
        </w:rPr>
        <w:t>2) 供应商对响应文件的补充、修改，应按本须知第15条的规定进行编制和签署，并按本须知第16条的规定进行密封、标记，同时还应在封套上加注“修改”字样。修改文件同样必须在提交响应文件截止时间前送达采购代理机构。</w:t>
      </w:r>
    </w:p>
    <w:p>
      <w:pPr>
        <w:tabs>
          <w:tab w:val="left" w:pos="720"/>
        </w:tabs>
        <w:topLinePunct/>
        <w:spacing w:line="460" w:lineRule="exact"/>
        <w:ind w:left="1" w:firstLine="360" w:firstLineChars="150"/>
        <w:rPr>
          <w:rFonts w:ascii="宋体" w:hAnsi="宋体" w:cs="仿宋"/>
          <w:sz w:val="24"/>
          <w:szCs w:val="24"/>
        </w:rPr>
      </w:pPr>
      <w:r>
        <w:rPr>
          <w:rFonts w:hint="eastAsia" w:ascii="宋体" w:hAnsi="宋体" w:cs="仿宋"/>
          <w:sz w:val="24"/>
          <w:szCs w:val="24"/>
        </w:rPr>
        <w:t>3) 在提交响应文件截止时间之后，供应商不得对其响应文件做任何实质性修改。</w:t>
      </w:r>
    </w:p>
    <w:p>
      <w:pPr>
        <w:tabs>
          <w:tab w:val="left" w:pos="720"/>
        </w:tabs>
        <w:topLinePunct/>
        <w:spacing w:line="460" w:lineRule="exact"/>
        <w:ind w:firstLine="360" w:firstLineChars="150"/>
        <w:rPr>
          <w:rFonts w:ascii="宋体" w:hAnsi="宋体" w:cs="仿宋"/>
          <w:sz w:val="24"/>
          <w:szCs w:val="24"/>
        </w:rPr>
      </w:pPr>
      <w:r>
        <w:rPr>
          <w:rFonts w:hint="eastAsia" w:ascii="宋体" w:hAnsi="宋体" w:cs="仿宋"/>
          <w:sz w:val="24"/>
          <w:szCs w:val="24"/>
        </w:rPr>
        <w:t>4) 在提交响应文件截止时间至采购代理机构在招标文件中规定的报价有效期期满之间的这段时间内，供应商不得撤回其响应文件，否则其投标保证金将被没收。</w:t>
      </w:r>
    </w:p>
    <w:p>
      <w:pPr>
        <w:pStyle w:val="7"/>
      </w:pPr>
      <w:bookmarkStart w:id="27" w:name="_Toc511397057"/>
      <w:r>
        <w:rPr>
          <w:rFonts w:hint="eastAsia"/>
        </w:rPr>
        <w:t>五、公开报价、评审与成交</w:t>
      </w:r>
      <w:bookmarkEnd w:id="27"/>
    </w:p>
    <w:p>
      <w:pPr>
        <w:pStyle w:val="8"/>
        <w:spacing w:before="0" w:after="0" w:line="240" w:lineRule="auto"/>
        <w:rPr>
          <w:sz w:val="24"/>
          <w:szCs w:val="24"/>
        </w:rPr>
      </w:pPr>
      <w:bookmarkStart w:id="28" w:name="_Toc511397058"/>
      <w:r>
        <w:rPr>
          <w:rFonts w:hint="eastAsia"/>
          <w:sz w:val="24"/>
          <w:szCs w:val="24"/>
        </w:rPr>
        <w:t>20.公开报价</w:t>
      </w:r>
      <w:bookmarkEnd w:id="28"/>
    </w:p>
    <w:p>
      <w:pPr>
        <w:topLinePunct/>
        <w:spacing w:line="460" w:lineRule="exact"/>
        <w:ind w:left="2" w:leftChars="1" w:firstLine="360" w:firstLineChars="150"/>
        <w:rPr>
          <w:rFonts w:ascii="宋体" w:hAnsi="宋体" w:cs="仿宋"/>
          <w:sz w:val="24"/>
          <w:szCs w:val="24"/>
        </w:rPr>
      </w:pPr>
      <w:r>
        <w:rPr>
          <w:rFonts w:hint="eastAsia" w:ascii="宋体" w:hAnsi="宋体" w:cs="仿宋"/>
          <w:sz w:val="24"/>
          <w:szCs w:val="24"/>
        </w:rPr>
        <w:t>1) 采购代理机构将在招标文件第一章中规定的时间和地点组织开标。供应商应委派授权代表准时参加开标，参加开标的授权代表须签到以证明其出席。</w:t>
      </w:r>
    </w:p>
    <w:p>
      <w:pPr>
        <w:tabs>
          <w:tab w:val="left" w:pos="720"/>
        </w:tabs>
        <w:topLinePunct/>
        <w:spacing w:line="460" w:lineRule="exact"/>
        <w:ind w:firstLine="360" w:firstLineChars="150"/>
        <w:rPr>
          <w:rFonts w:ascii="宋体" w:hAnsi="宋体" w:cs="仿宋"/>
          <w:sz w:val="24"/>
          <w:szCs w:val="24"/>
        </w:rPr>
      </w:pPr>
      <w:r>
        <w:rPr>
          <w:rFonts w:hint="eastAsia" w:ascii="宋体" w:hAnsi="宋体" w:cs="仿宋"/>
          <w:sz w:val="24"/>
          <w:szCs w:val="24"/>
        </w:rPr>
        <w:t>2) 按照本须知第19条规定，同意撤回的响应文件将不予开封。</w:t>
      </w:r>
    </w:p>
    <w:p>
      <w:pPr>
        <w:tabs>
          <w:tab w:val="left" w:pos="720"/>
        </w:tabs>
        <w:topLinePunct/>
        <w:spacing w:line="460" w:lineRule="exact"/>
        <w:ind w:firstLine="360" w:firstLineChars="150"/>
        <w:rPr>
          <w:rFonts w:ascii="宋体" w:hAnsi="宋体" w:cs="仿宋"/>
          <w:sz w:val="24"/>
          <w:szCs w:val="24"/>
        </w:rPr>
      </w:pPr>
      <w:r>
        <w:rPr>
          <w:rFonts w:hint="eastAsia" w:ascii="宋体" w:hAnsi="宋体" w:cs="仿宋"/>
          <w:sz w:val="24"/>
          <w:szCs w:val="24"/>
        </w:rPr>
        <w:t>3) 开标由采购代理机构主持，邀请采购人、供应商、和有关监督部门代表参加，有关监督部门可视情况派人员现场监督。</w:t>
      </w:r>
    </w:p>
    <w:p>
      <w:pPr>
        <w:tabs>
          <w:tab w:val="left" w:pos="420"/>
          <w:tab w:val="left" w:pos="720"/>
        </w:tabs>
        <w:topLinePunct/>
        <w:spacing w:line="460" w:lineRule="exact"/>
        <w:ind w:left="1" w:firstLine="360" w:firstLineChars="150"/>
        <w:rPr>
          <w:rFonts w:ascii="宋体" w:hAnsi="宋体" w:cs="仿宋"/>
          <w:color w:val="000000"/>
          <w:sz w:val="24"/>
          <w:szCs w:val="24"/>
        </w:rPr>
      </w:pPr>
      <w:r>
        <w:rPr>
          <w:rFonts w:hint="eastAsia" w:ascii="宋体" w:hAnsi="宋体" w:cs="仿宋"/>
          <w:color w:val="000000"/>
          <w:sz w:val="24"/>
          <w:szCs w:val="24"/>
        </w:rPr>
        <w:t>4) 开标时，由采购人委托的公证人员检查响应文件密封情况并公证。</w:t>
      </w:r>
    </w:p>
    <w:p>
      <w:pPr>
        <w:tabs>
          <w:tab w:val="left" w:pos="420"/>
          <w:tab w:val="left" w:pos="720"/>
        </w:tabs>
        <w:topLinePunct/>
        <w:spacing w:line="460" w:lineRule="exact"/>
        <w:ind w:left="1" w:firstLine="360" w:firstLineChars="150"/>
        <w:rPr>
          <w:rFonts w:ascii="宋体" w:hAnsi="宋体" w:cs="仿宋"/>
          <w:sz w:val="24"/>
          <w:szCs w:val="24"/>
        </w:rPr>
      </w:pPr>
      <w:r>
        <w:rPr>
          <w:rFonts w:hint="eastAsia" w:ascii="宋体" w:hAnsi="宋体" w:cs="仿宋"/>
          <w:sz w:val="24"/>
          <w:szCs w:val="24"/>
        </w:rPr>
        <w:t>5) 开标时，采购代理机构工作人员将当众拆启并宣读每个供应商的《公开报价一览表》中的报价，以及采购代理机构认为合适的其他详细内容。</w:t>
      </w:r>
    </w:p>
    <w:p>
      <w:pPr>
        <w:tabs>
          <w:tab w:val="left" w:pos="420"/>
          <w:tab w:val="left" w:pos="720"/>
        </w:tabs>
        <w:topLinePunct/>
        <w:spacing w:line="460" w:lineRule="exact"/>
        <w:ind w:left="1" w:firstLine="360" w:firstLineChars="150"/>
        <w:rPr>
          <w:rFonts w:ascii="宋体" w:hAnsi="宋体" w:cs="仿宋"/>
          <w:sz w:val="24"/>
          <w:szCs w:val="24"/>
        </w:rPr>
      </w:pPr>
      <w:r>
        <w:rPr>
          <w:rFonts w:hint="eastAsia" w:ascii="宋体" w:hAnsi="宋体" w:cs="仿宋"/>
          <w:sz w:val="24"/>
          <w:szCs w:val="24"/>
        </w:rPr>
        <w:t>6) 采购代理机构将做开标记录，开标记录包括按本须知规定在开标时宣读的全部内容。</w:t>
      </w:r>
    </w:p>
    <w:p>
      <w:pPr>
        <w:pStyle w:val="8"/>
        <w:spacing w:before="0" w:after="0" w:line="240" w:lineRule="auto"/>
        <w:rPr>
          <w:sz w:val="24"/>
          <w:szCs w:val="24"/>
        </w:rPr>
      </w:pPr>
      <w:bookmarkStart w:id="29" w:name="_Toc511397059"/>
      <w:r>
        <w:rPr>
          <w:rFonts w:hint="eastAsia"/>
          <w:sz w:val="24"/>
          <w:szCs w:val="24"/>
        </w:rPr>
        <w:t>21.响应文件的有效性</w:t>
      </w:r>
      <w:bookmarkEnd w:id="29"/>
    </w:p>
    <w:p>
      <w:pPr>
        <w:tabs>
          <w:tab w:val="left" w:pos="720"/>
        </w:tabs>
        <w:topLinePunct/>
        <w:spacing w:line="460" w:lineRule="exact"/>
        <w:rPr>
          <w:rFonts w:ascii="宋体" w:hAnsi="宋体" w:cs="仿宋"/>
          <w:sz w:val="24"/>
          <w:szCs w:val="24"/>
        </w:rPr>
      </w:pPr>
      <w:r>
        <w:rPr>
          <w:rFonts w:hint="eastAsia" w:ascii="宋体" w:hAnsi="宋体" w:cs="仿宋"/>
          <w:sz w:val="24"/>
          <w:szCs w:val="24"/>
        </w:rPr>
        <w:t xml:space="preserve">   1) 开标时，响应文件出现下列情形之一的，应当作为无效响应文件，不得进入评审。</w:t>
      </w:r>
    </w:p>
    <w:p>
      <w:pPr>
        <w:numPr>
          <w:ilvl w:val="1"/>
          <w:numId w:val="7"/>
        </w:numPr>
        <w:tabs>
          <w:tab w:val="left" w:pos="1080"/>
          <w:tab w:val="clear" w:pos="1320"/>
        </w:tabs>
        <w:topLinePunct/>
        <w:spacing w:line="460" w:lineRule="exact"/>
        <w:ind w:hanging="600"/>
        <w:rPr>
          <w:rFonts w:ascii="宋体" w:hAnsi="宋体" w:cs="仿宋"/>
          <w:sz w:val="24"/>
          <w:szCs w:val="24"/>
        </w:rPr>
      </w:pPr>
      <w:r>
        <w:rPr>
          <w:rFonts w:hint="eastAsia" w:ascii="宋体" w:hAnsi="宋体" w:cs="仿宋"/>
          <w:sz w:val="24"/>
          <w:szCs w:val="24"/>
        </w:rPr>
        <w:t>逾期送达或者未送达指定地点的。</w:t>
      </w:r>
    </w:p>
    <w:p>
      <w:pPr>
        <w:numPr>
          <w:ilvl w:val="1"/>
          <w:numId w:val="7"/>
        </w:numPr>
        <w:tabs>
          <w:tab w:val="left" w:pos="1080"/>
          <w:tab w:val="clear" w:pos="1320"/>
        </w:tabs>
        <w:topLinePunct/>
        <w:spacing w:line="460" w:lineRule="exact"/>
        <w:ind w:hanging="600"/>
        <w:rPr>
          <w:rFonts w:ascii="宋体" w:hAnsi="宋体" w:cs="仿宋"/>
          <w:sz w:val="24"/>
          <w:szCs w:val="24"/>
        </w:rPr>
      </w:pPr>
      <w:r>
        <w:rPr>
          <w:rFonts w:hint="eastAsia" w:ascii="宋体" w:hAnsi="宋体" w:cs="仿宋"/>
          <w:sz w:val="24"/>
          <w:szCs w:val="24"/>
        </w:rPr>
        <w:t>响应文件未按要求密封的。</w:t>
      </w:r>
    </w:p>
    <w:p>
      <w:pPr>
        <w:numPr>
          <w:ilvl w:val="1"/>
          <w:numId w:val="7"/>
        </w:numPr>
        <w:tabs>
          <w:tab w:val="left" w:pos="1080"/>
          <w:tab w:val="clear" w:pos="1320"/>
        </w:tabs>
        <w:topLinePunct/>
        <w:spacing w:line="460" w:lineRule="exact"/>
        <w:ind w:hanging="600"/>
        <w:rPr>
          <w:rFonts w:ascii="宋体" w:hAnsi="宋体" w:cs="仿宋"/>
          <w:color w:val="000000"/>
          <w:sz w:val="24"/>
          <w:szCs w:val="24"/>
        </w:rPr>
      </w:pPr>
      <w:r>
        <w:rPr>
          <w:rFonts w:hint="eastAsia" w:ascii="宋体" w:hAnsi="宋体" w:cs="仿宋"/>
          <w:color w:val="000000"/>
          <w:sz w:val="24"/>
          <w:szCs w:val="24"/>
        </w:rPr>
        <w:t>未按要求递交开标保证金的。</w:t>
      </w:r>
    </w:p>
    <w:p>
      <w:pPr>
        <w:numPr>
          <w:ilvl w:val="1"/>
          <w:numId w:val="7"/>
        </w:numPr>
        <w:tabs>
          <w:tab w:val="left" w:pos="1080"/>
          <w:tab w:val="clear" w:pos="1320"/>
        </w:tabs>
        <w:topLinePunct/>
        <w:spacing w:line="460" w:lineRule="exact"/>
        <w:ind w:hanging="600"/>
        <w:rPr>
          <w:rFonts w:ascii="宋体" w:hAnsi="宋体" w:cs="仿宋"/>
          <w:color w:val="000000"/>
          <w:sz w:val="24"/>
          <w:szCs w:val="24"/>
        </w:rPr>
      </w:pPr>
      <w:r>
        <w:rPr>
          <w:rFonts w:hint="eastAsia" w:ascii="宋体" w:hAnsi="宋体" w:cs="仿宋"/>
          <w:sz w:val="24"/>
          <w:szCs w:val="24"/>
        </w:rPr>
        <w:t>要求加盖公章处未加盖公章的。</w:t>
      </w:r>
    </w:p>
    <w:p>
      <w:pPr>
        <w:numPr>
          <w:ilvl w:val="1"/>
          <w:numId w:val="7"/>
        </w:numPr>
        <w:tabs>
          <w:tab w:val="left" w:pos="1080"/>
          <w:tab w:val="clear" w:pos="1320"/>
        </w:tabs>
        <w:topLinePunct/>
        <w:spacing w:line="460" w:lineRule="exact"/>
        <w:ind w:hanging="600"/>
        <w:rPr>
          <w:rFonts w:ascii="宋体" w:hAnsi="宋体" w:cs="仿宋"/>
          <w:sz w:val="24"/>
          <w:szCs w:val="24"/>
        </w:rPr>
      </w:pPr>
      <w:r>
        <w:rPr>
          <w:rFonts w:hint="eastAsia" w:ascii="宋体" w:hAnsi="宋体" w:cs="仿宋"/>
          <w:sz w:val="24"/>
          <w:szCs w:val="24"/>
        </w:rPr>
        <w:t>法律、法规及招标文件规定的其它情况。</w:t>
      </w:r>
    </w:p>
    <w:p>
      <w:pPr>
        <w:tabs>
          <w:tab w:val="left" w:pos="720"/>
        </w:tabs>
        <w:topLinePunct/>
        <w:spacing w:line="460" w:lineRule="exact"/>
        <w:rPr>
          <w:rFonts w:ascii="宋体" w:hAnsi="宋体" w:cs="仿宋"/>
          <w:sz w:val="24"/>
          <w:szCs w:val="24"/>
        </w:rPr>
      </w:pPr>
      <w:r>
        <w:rPr>
          <w:rFonts w:hint="eastAsia" w:ascii="宋体" w:hAnsi="宋体" w:cs="仿宋"/>
          <w:sz w:val="24"/>
          <w:szCs w:val="24"/>
        </w:rPr>
        <w:t xml:space="preserve">   2) 采购代理机构将有效响应文件送磋商小组评审、比较。</w:t>
      </w:r>
    </w:p>
    <w:p>
      <w:pPr>
        <w:pStyle w:val="8"/>
        <w:spacing w:before="0" w:after="0" w:line="240" w:lineRule="auto"/>
        <w:rPr>
          <w:sz w:val="24"/>
          <w:szCs w:val="24"/>
        </w:rPr>
      </w:pPr>
      <w:bookmarkStart w:id="30" w:name="_Toc511397060"/>
      <w:r>
        <w:rPr>
          <w:rFonts w:hint="eastAsia"/>
          <w:sz w:val="24"/>
          <w:szCs w:val="24"/>
        </w:rPr>
        <w:t>22.磋商小组</w:t>
      </w:r>
      <w:bookmarkEnd w:id="30"/>
    </w:p>
    <w:p>
      <w:pPr>
        <w:topLinePunct/>
        <w:spacing w:line="460" w:lineRule="exact"/>
        <w:ind w:firstLine="360" w:firstLineChars="150"/>
        <w:rPr>
          <w:rFonts w:ascii="宋体" w:hAnsi="宋体" w:cs="仿宋"/>
          <w:sz w:val="24"/>
          <w:szCs w:val="24"/>
        </w:rPr>
      </w:pPr>
      <w:r>
        <w:rPr>
          <w:rFonts w:hint="eastAsia" w:ascii="宋体" w:hAnsi="宋体" w:cs="仿宋"/>
          <w:sz w:val="24"/>
          <w:szCs w:val="24"/>
        </w:rPr>
        <w:t xml:space="preserve"> 采购代理机构将根据本项目的特点组建磋商小组，其成员由采购人代表和评审专家3人组成，其中评审专家人数不得少于磋商小组成员总数的三分之二，磋商小组负责对响应文件进行审查、质疑、评审，确定成交供应商。</w:t>
      </w:r>
    </w:p>
    <w:p>
      <w:pPr>
        <w:pStyle w:val="8"/>
        <w:spacing w:before="0" w:after="0" w:line="240" w:lineRule="auto"/>
        <w:rPr>
          <w:sz w:val="24"/>
          <w:szCs w:val="24"/>
        </w:rPr>
      </w:pPr>
      <w:bookmarkStart w:id="31" w:name="_Toc511397061"/>
      <w:r>
        <w:rPr>
          <w:rFonts w:hint="eastAsia"/>
          <w:sz w:val="24"/>
          <w:szCs w:val="24"/>
        </w:rPr>
        <w:t>23.公开唱价</w:t>
      </w:r>
      <w:bookmarkEnd w:id="31"/>
    </w:p>
    <w:p>
      <w:pPr>
        <w:spacing w:line="480" w:lineRule="exact"/>
        <w:ind w:firstLine="360" w:firstLineChars="150"/>
        <w:rPr>
          <w:rFonts w:ascii="宋体" w:hAnsi="宋体" w:cs="仿宋"/>
          <w:color w:val="000000"/>
          <w:sz w:val="24"/>
          <w:szCs w:val="24"/>
        </w:rPr>
      </w:pPr>
      <w:r>
        <w:rPr>
          <w:rFonts w:hint="eastAsia" w:ascii="宋体" w:hAnsi="宋体" w:cs="仿宋"/>
          <w:color w:val="000000"/>
          <w:sz w:val="24"/>
          <w:szCs w:val="24"/>
        </w:rPr>
        <w:t>1) 采购代理机构组织并主持开标，参加报价的授权代表应签名报到，以证明其出席开标会议。</w:t>
      </w:r>
    </w:p>
    <w:p>
      <w:pPr>
        <w:spacing w:line="480" w:lineRule="exact"/>
        <w:ind w:firstLine="360" w:firstLineChars="150"/>
        <w:rPr>
          <w:rFonts w:ascii="宋体" w:hAnsi="宋体" w:cs="仿宋"/>
          <w:color w:val="000000"/>
          <w:sz w:val="24"/>
          <w:szCs w:val="24"/>
        </w:rPr>
      </w:pPr>
      <w:r>
        <w:rPr>
          <w:rFonts w:hint="eastAsia" w:ascii="宋体" w:hAnsi="宋体" w:cs="仿宋"/>
          <w:color w:val="000000"/>
          <w:sz w:val="24"/>
          <w:szCs w:val="24"/>
        </w:rPr>
        <w:t>2) 公开唱价：采购代理机构工作人员将当众拆启并宣读每个供应商的《公开报价一览表》中的报价，以及采购代理机构认为合适的其他详细内容。</w:t>
      </w:r>
    </w:p>
    <w:p>
      <w:pPr>
        <w:pStyle w:val="8"/>
        <w:spacing w:before="0" w:after="0" w:line="240" w:lineRule="auto"/>
        <w:rPr>
          <w:sz w:val="24"/>
          <w:szCs w:val="24"/>
        </w:rPr>
      </w:pPr>
      <w:bookmarkStart w:id="32" w:name="_Toc511397062"/>
      <w:r>
        <w:rPr>
          <w:rFonts w:hint="eastAsia"/>
          <w:sz w:val="24"/>
          <w:szCs w:val="24"/>
        </w:rPr>
        <w:t>24.评审原则</w:t>
      </w:r>
      <w:bookmarkEnd w:id="32"/>
    </w:p>
    <w:p>
      <w:pPr>
        <w:spacing w:line="480" w:lineRule="exact"/>
        <w:ind w:firstLine="360" w:firstLineChars="150"/>
        <w:rPr>
          <w:rFonts w:ascii="宋体" w:hAnsi="宋体" w:cs="仿宋"/>
          <w:sz w:val="24"/>
          <w:szCs w:val="24"/>
        </w:rPr>
      </w:pPr>
      <w:r>
        <w:rPr>
          <w:rFonts w:hint="eastAsia" w:ascii="宋体" w:hAnsi="宋体" w:cs="仿宋"/>
          <w:sz w:val="24"/>
          <w:szCs w:val="24"/>
        </w:rPr>
        <w:t>1) 客观性原则：磋商小组将严格按照招标文件的要求，对供应商的响应文件进行认真评审；磋商小组对响应文件的评审仅依据响应文件本身，而不依据响应文件以外的任何因素。</w:t>
      </w:r>
    </w:p>
    <w:p>
      <w:pPr>
        <w:spacing w:line="480" w:lineRule="exact"/>
        <w:ind w:firstLine="360" w:firstLineChars="150"/>
        <w:rPr>
          <w:rFonts w:ascii="宋体" w:hAnsi="宋体" w:cs="仿宋"/>
          <w:sz w:val="24"/>
          <w:szCs w:val="24"/>
        </w:rPr>
      </w:pPr>
      <w:r>
        <w:rPr>
          <w:rFonts w:hint="eastAsia" w:ascii="宋体" w:hAnsi="宋体" w:cs="仿宋"/>
          <w:sz w:val="24"/>
          <w:szCs w:val="24"/>
        </w:rPr>
        <w:t>2) 统一性原则：磋商小组将按照统一的原则和评审方法，用同一标准进行评审。</w:t>
      </w:r>
    </w:p>
    <w:p>
      <w:pPr>
        <w:spacing w:line="480" w:lineRule="exact"/>
        <w:ind w:firstLine="360" w:firstLineChars="150"/>
        <w:rPr>
          <w:rFonts w:ascii="宋体" w:hAnsi="宋体" w:cs="仿宋"/>
          <w:sz w:val="24"/>
          <w:szCs w:val="24"/>
        </w:rPr>
      </w:pPr>
      <w:r>
        <w:rPr>
          <w:rFonts w:hint="eastAsia" w:ascii="宋体" w:hAnsi="宋体" w:cs="仿宋"/>
          <w:sz w:val="24"/>
          <w:szCs w:val="24"/>
        </w:rPr>
        <w:t>3) 独立性原则：评审工作在磋商小组内部独立进行，不受外界任何因素的干扰和影响。磋商小组成员对出具的评审意见承担个人责任。</w:t>
      </w:r>
    </w:p>
    <w:p>
      <w:pPr>
        <w:spacing w:line="480" w:lineRule="exact"/>
        <w:ind w:firstLine="360" w:firstLineChars="150"/>
        <w:rPr>
          <w:rFonts w:ascii="宋体" w:hAnsi="宋体" w:cs="仿宋"/>
          <w:sz w:val="24"/>
          <w:szCs w:val="24"/>
        </w:rPr>
      </w:pPr>
      <w:r>
        <w:rPr>
          <w:rFonts w:hint="eastAsia" w:ascii="宋体" w:hAnsi="宋体" w:cs="仿宋"/>
          <w:sz w:val="24"/>
          <w:szCs w:val="24"/>
        </w:rPr>
        <w:t>4) 保密性原则：采购代理机构应当采取必要的措施，保证评审在严格保密的情况下进行。</w:t>
      </w:r>
    </w:p>
    <w:p>
      <w:pPr>
        <w:spacing w:line="480" w:lineRule="exact"/>
        <w:ind w:firstLine="360" w:firstLineChars="150"/>
        <w:rPr>
          <w:rFonts w:ascii="宋体" w:hAnsi="宋体" w:cs="仿宋"/>
          <w:sz w:val="24"/>
          <w:szCs w:val="24"/>
        </w:rPr>
      </w:pPr>
      <w:r>
        <w:rPr>
          <w:rFonts w:hint="eastAsia" w:ascii="宋体" w:hAnsi="宋体" w:cs="仿宋"/>
          <w:sz w:val="24"/>
          <w:szCs w:val="24"/>
        </w:rPr>
        <w:t>5) 综合性原则：磋商小组将综合分析、评审供应商的各项指标，而不以单项指标的优劣评定出成交人。</w:t>
      </w:r>
    </w:p>
    <w:p>
      <w:pPr>
        <w:spacing w:line="400" w:lineRule="exact"/>
        <w:ind w:firstLine="560"/>
        <w:rPr>
          <w:rFonts w:cs="仿宋" w:asciiTheme="minorEastAsia" w:hAnsiTheme="minorEastAsia" w:eastAsiaTheme="minorEastAsia"/>
          <w:b/>
          <w:sz w:val="24"/>
        </w:rPr>
      </w:pPr>
      <w:bookmarkStart w:id="33" w:name="_Toc511397063"/>
      <w:r>
        <w:rPr>
          <w:rFonts w:hint="eastAsia"/>
          <w:sz w:val="24"/>
          <w:szCs w:val="24"/>
        </w:rPr>
        <w:t>25.</w:t>
      </w:r>
      <w:bookmarkEnd w:id="33"/>
      <w:r>
        <w:rPr>
          <w:rFonts w:hint="eastAsia" w:cs="仿宋" w:asciiTheme="minorEastAsia" w:hAnsiTheme="minorEastAsia" w:eastAsiaTheme="minorEastAsia"/>
          <w:b/>
          <w:sz w:val="24"/>
        </w:rPr>
        <w:t>磋商步骤：</w:t>
      </w:r>
    </w:p>
    <w:p>
      <w:pPr>
        <w:spacing w:line="400" w:lineRule="exact"/>
        <w:ind w:firstLine="560"/>
        <w:rPr>
          <w:rFonts w:cs="仿宋" w:asciiTheme="minorEastAsia" w:hAnsiTheme="minorEastAsia" w:eastAsiaTheme="minorEastAsia"/>
          <w:b/>
          <w:sz w:val="24"/>
        </w:rPr>
      </w:pPr>
      <w:r>
        <w:rPr>
          <w:rFonts w:hint="eastAsia" w:cs="仿宋" w:asciiTheme="minorEastAsia" w:hAnsiTheme="minorEastAsia" w:eastAsiaTheme="minorEastAsia"/>
          <w:b/>
          <w:sz w:val="24"/>
        </w:rPr>
        <w:t xml:space="preserve"> 第一步：磋商小组对响应文件的有效性、完整性和响应程度进行审查。</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磋商小组要求供应商澄清、说明或者更正响应文件应当以书面形式作出。供应商的澄清、说明或者更正的文件应当由法定代表人或其授权代表签字或者加盖公章。由授权代表签字的，应当附法定代表人授权书。供应商为自然人的，应当由本人签字并附身份证明。</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有下列情况之一者，磋商小组认定其为不合格供应商，并取消其磋商资格：</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（1）未按规定密封的；</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（2）未加盖供应商公章，也未经法定代表人签章或其授权代理人签字的；</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（3）响应文件未按采购文件的要求制作的；响应文件内容字迹模糊、无法辨认的；</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（4）供应商资格不符合供应商须知规定的合格条件的；</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（5）技术文件不符合响应文件规定合格性标准的；</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（6）响应文件附有采购人不能接受的条件；</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（7）未响应采购文件的实质性要求和条件的；</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（8）供应商未按照采购文件的要求提供投标保证金的；</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（9）逾期送达的；</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（10）法定代表人或法定代表人委托人未参加磋商仪式的；</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（11）扰乱磋商仪式会场秩序的；</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（12）在本项目响应活动中违反相关法律、法规的；</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（13）所提供有关证书、证明涂改、转让或提供虚假材料的。</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响应文件的评审和比较工作由磋商小组负责，评审、比较过程、结果对外不作任何解释。</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磋商小组将仅对认定资格性和符合性检查合格，确定为可以进入详细评审的供应商进行评价与比较。</w:t>
      </w:r>
    </w:p>
    <w:p>
      <w:pPr>
        <w:spacing w:line="400" w:lineRule="exact"/>
        <w:ind w:firstLine="560"/>
        <w:rPr>
          <w:rFonts w:cs="仿宋" w:asciiTheme="minorEastAsia" w:hAnsiTheme="minorEastAsia" w:eastAsiaTheme="minorEastAsia"/>
          <w:b/>
          <w:sz w:val="24"/>
        </w:rPr>
      </w:pPr>
      <w:r>
        <w:rPr>
          <w:rFonts w:hint="eastAsia" w:cs="仿宋" w:asciiTheme="minorEastAsia" w:hAnsiTheme="minorEastAsia" w:eastAsiaTheme="minorEastAsia"/>
          <w:b/>
          <w:sz w:val="24"/>
        </w:rPr>
        <w:t>第二步：磋商小组所有成员集中与单一供应商分别进行磋商。</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对磋商文件作出的实质性变动是磋商文件的有效组成部分，磋商小组应当及时以书面形式同时通知所有参加磋商的供应商。</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未实质性响应磋商文件的响应文件按无效响应处理，磋商小组应当告知提交响应文件的供应商。</w:t>
      </w:r>
    </w:p>
    <w:p>
      <w:pPr>
        <w:spacing w:line="400" w:lineRule="exact"/>
        <w:ind w:firstLine="560"/>
        <w:rPr>
          <w:rFonts w:cs="仿宋" w:asciiTheme="minorEastAsia" w:hAnsiTheme="minorEastAsia" w:eastAsiaTheme="minorEastAsia"/>
          <w:b/>
          <w:sz w:val="24"/>
        </w:rPr>
      </w:pPr>
      <w:r>
        <w:rPr>
          <w:rFonts w:hint="eastAsia" w:cs="仿宋" w:asciiTheme="minorEastAsia" w:hAnsiTheme="minorEastAsia" w:eastAsiaTheme="minorEastAsia"/>
          <w:b/>
          <w:sz w:val="24"/>
        </w:rPr>
        <w:t>第三步：提交最后报价。</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经磋商确定实质性响应的供应商后，磋商小组要求所有实质性相应的供应商在规定时间内提交最后报价，提交最后报价的供应商不少于3家。</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b/>
          <w:sz w:val="24"/>
        </w:rPr>
        <w:t>第四步：采用综合评分法对供应商的响应文件进行综合评分</w:t>
      </w:r>
      <w:r>
        <w:rPr>
          <w:rFonts w:hint="eastAsia" w:cs="仿宋" w:asciiTheme="minorEastAsia" w:hAnsiTheme="minorEastAsia" w:eastAsiaTheme="minorEastAsia"/>
          <w:sz w:val="24"/>
        </w:rPr>
        <w:t>。</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经磋商确定最终采购需求和提交最后报价的供应商后，由磋商小组采用综合评分法对提交最后报价的供应商的响应文件和最后报价进行综合评分。</w:t>
      </w:r>
    </w:p>
    <w:p>
      <w:pPr>
        <w:spacing w:line="400" w:lineRule="exact"/>
        <w:ind w:firstLine="560"/>
        <w:rPr>
          <w:rFonts w:cs="仿宋" w:asciiTheme="minorEastAsia" w:hAnsiTheme="minorEastAsia" w:eastAsiaTheme="minorEastAsia"/>
          <w:b/>
          <w:sz w:val="24"/>
        </w:rPr>
      </w:pPr>
      <w:r>
        <w:rPr>
          <w:rFonts w:hint="eastAsia" w:cs="仿宋" w:asciiTheme="minorEastAsia" w:hAnsiTheme="minorEastAsia" w:eastAsiaTheme="minorEastAsia"/>
          <w:b/>
          <w:sz w:val="24"/>
        </w:rPr>
        <w:t>第五步：磋商小组应当根据综合评分情况，按照评审得分由高到低顺序推荐成交候选供应商，并编写评审报告。</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00" w:lineRule="exact"/>
        <w:ind w:firstLine="560"/>
        <w:rPr>
          <w:rFonts w:cs="仿宋" w:asciiTheme="minorEastAsia" w:hAnsiTheme="minorEastAsia" w:eastAsiaTheme="minorEastAsia"/>
          <w:b/>
          <w:sz w:val="24"/>
        </w:rPr>
      </w:pPr>
      <w:r>
        <w:rPr>
          <w:rFonts w:hint="eastAsia" w:cs="仿宋" w:asciiTheme="minorEastAsia" w:hAnsiTheme="minorEastAsia" w:eastAsiaTheme="minorEastAsia"/>
          <w:b/>
          <w:sz w:val="24"/>
        </w:rPr>
        <w:t>第六步：采购人确认评审报告及成交供应商，并公告成交结果。</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不保证最低报价的供应商最终成交，也没有义务对未成交的供应商作任何解释和说明。</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不保证接近基准值的供应商成交，也没有义务对未成交的供应商作任何解释和说明。</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采购人或者采购代理机构应当在成交供应商确定后2个工作日内，在省级以上财政部门指定的政府采购信息发布媒体上公告成交结果，同时向成交供应商发出成交通知书，并将磋商文件随成交结果同时公告。</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为维护国家的利益，采购人在授予合同之前仍有选择和拒绝任何或全部谈判的权力，并对所采取的行为不做任何解释。</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采购人有权利根据供应商响应文件对采购文件实质性响应的程度决定接受其全部或部分的谈判。</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b/>
          <w:sz w:val="24"/>
        </w:rPr>
        <w:t>第七步：签订政府采购合同。</w:t>
      </w:r>
    </w:p>
    <w:p>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采购人与成交供应商应当在成交通知书发出之日起30日内，按照磋商文件确定的合同文本以及采购标的、规格型号、采购金额、采购数量、技术和服务要求等事项签订政府采购合同。</w:t>
      </w:r>
    </w:p>
    <w:p>
      <w:pPr>
        <w:pStyle w:val="8"/>
        <w:spacing w:before="0" w:after="0" w:line="240" w:lineRule="auto"/>
        <w:rPr>
          <w:sz w:val="24"/>
          <w:szCs w:val="24"/>
        </w:rPr>
      </w:pPr>
      <w:bookmarkStart w:id="34" w:name="_Toc511397064"/>
      <w:r>
        <w:rPr>
          <w:rFonts w:hint="eastAsia"/>
          <w:sz w:val="24"/>
          <w:szCs w:val="24"/>
        </w:rPr>
        <w:t>26.评审方法:</w:t>
      </w:r>
      <w:bookmarkEnd w:id="34"/>
    </w:p>
    <w:p>
      <w:pPr>
        <w:spacing w:line="440" w:lineRule="exact"/>
        <w:ind w:firstLine="560"/>
        <w:rPr>
          <w:rFonts w:cs="仿宋" w:asciiTheme="minorEastAsia" w:hAnsiTheme="minorEastAsia" w:eastAsiaTheme="minorEastAsia"/>
          <w:b/>
          <w:sz w:val="24"/>
        </w:rPr>
      </w:pPr>
      <w:r>
        <w:rPr>
          <w:rFonts w:hint="eastAsia" w:cs="仿宋" w:asciiTheme="minorEastAsia" w:hAnsiTheme="minorEastAsia" w:eastAsiaTheme="minorEastAsia"/>
          <w:b/>
          <w:sz w:val="24"/>
        </w:rPr>
        <w:t>采用“综合评分法”的评审方法。</w:t>
      </w:r>
    </w:p>
    <w:p>
      <w:pPr>
        <w:spacing w:line="44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1）评审采用百分制，磋商小组各成员分别独立对实质上响应磋商文件的供应商进行逐项评价打分，对磋商小组各成员每一因素的打分汇总后取平均分，该平均分为供应商的得分。按最终得分确定中标或中标候选人（可确定多名中标候选人）。</w:t>
      </w:r>
    </w:p>
    <w:p>
      <w:pPr>
        <w:spacing w:line="44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（2）磋商响应报价为最终报价。</w:t>
      </w:r>
    </w:p>
    <w:p>
      <w:pPr>
        <w:spacing w:line="44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3）评标委员会成员综合评定各供应商提交的投标文件，由评标委员会按以上评标办法并综合各成员意见，确定中标人或中标候选人。同时将中标结果通知所有参加投标的供应商，只宣布结果，不解释未中标原因。如果中标人无正当理</w:t>
      </w:r>
      <w:r>
        <w:rPr>
          <w:rFonts w:hint="eastAsia" w:cs="仿宋" w:asciiTheme="minorEastAsia" w:hAnsiTheme="minorEastAsia" w:eastAsiaTheme="minorEastAsia"/>
          <w:sz w:val="24"/>
          <w:highlight w:val="none"/>
        </w:rPr>
        <w:t>由拒绝签订</w:t>
      </w:r>
      <w:r>
        <w:rPr>
          <w:rFonts w:hint="eastAsia" w:cs="仿宋" w:asciiTheme="minorEastAsia" w:hAnsiTheme="minorEastAsia" w:eastAsiaTheme="minorEastAsia"/>
          <w:sz w:val="24"/>
          <w:highlight w:val="none"/>
          <w:lang w:val="en-US" w:eastAsia="zh-CN"/>
        </w:rPr>
        <w:t>供货</w:t>
      </w:r>
      <w:r>
        <w:rPr>
          <w:rFonts w:hint="eastAsia" w:cs="仿宋" w:asciiTheme="minorEastAsia" w:hAnsiTheme="minorEastAsia" w:eastAsiaTheme="minorEastAsia"/>
          <w:sz w:val="24"/>
          <w:highlight w:val="none"/>
        </w:rPr>
        <w:t>合同或无法按招标文件要求完成</w:t>
      </w:r>
      <w:r>
        <w:rPr>
          <w:rFonts w:hint="eastAsia" w:cs="仿宋" w:asciiTheme="minorEastAsia" w:hAnsiTheme="minorEastAsia" w:eastAsiaTheme="minorEastAsia"/>
          <w:sz w:val="24"/>
          <w:highlight w:val="none"/>
          <w:lang w:val="en-US" w:eastAsia="zh-CN"/>
        </w:rPr>
        <w:t>供货</w:t>
      </w:r>
      <w:r>
        <w:rPr>
          <w:rFonts w:hint="eastAsia" w:cs="仿宋" w:asciiTheme="minorEastAsia" w:hAnsiTheme="minorEastAsia" w:eastAsiaTheme="minorEastAsia"/>
          <w:sz w:val="24"/>
          <w:highlight w:val="none"/>
        </w:rPr>
        <w:t>任务，招标人有权取消其</w:t>
      </w:r>
      <w:r>
        <w:rPr>
          <w:rFonts w:hint="eastAsia" w:cs="仿宋" w:asciiTheme="minorEastAsia" w:hAnsiTheme="minorEastAsia" w:eastAsiaTheme="minorEastAsia"/>
          <w:sz w:val="24"/>
        </w:rPr>
        <w:t>中标资格，没收其投标保证金，然后确定得分第二名的投标单位成为中标人。同时将中标结果通知所有参加投标的供应商。</w:t>
      </w:r>
    </w:p>
    <w:p>
      <w:pPr>
        <w:spacing w:line="44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（4）确定中标候选人的，由招标人按照中标候选人排名情况确定最终中标人。并按有关规定向其发出中标通知书。如发现以下任一情况，均作无效投标处理：</w:t>
      </w:r>
    </w:p>
    <w:p>
      <w:pPr>
        <w:spacing w:line="44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a供应商注册资金达不到招标文件要求或虚假的。</w:t>
      </w:r>
    </w:p>
    <w:p>
      <w:pPr>
        <w:spacing w:line="44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b供应商相关资质达不到招标文件要求或虚假的。</w:t>
      </w:r>
    </w:p>
    <w:p>
      <w:pPr>
        <w:spacing w:line="44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c供应商业绩有一例或一例以上虚假的。</w:t>
      </w:r>
    </w:p>
    <w:p>
      <w:pPr>
        <w:spacing w:line="44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d供应商业绩有一例或一例以上不良记录的。</w:t>
      </w:r>
    </w:p>
    <w:p>
      <w:pPr>
        <w:spacing w:line="44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e供应商售后服务有一例或一例以上不良记录的。</w:t>
      </w:r>
    </w:p>
    <w:p>
      <w:pPr>
        <w:spacing w:line="44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f供应商所投产品的设计、生产、制造技术含量低或不符合招标文件要求的。</w:t>
      </w:r>
    </w:p>
    <w:p>
      <w:pPr>
        <w:spacing w:line="44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g其他与招标文件、投标文件不符的情况。</w:t>
      </w:r>
    </w:p>
    <w:p>
      <w:pPr>
        <w:topLinePunct/>
        <w:spacing w:line="440" w:lineRule="exact"/>
        <w:ind w:firstLine="480" w:firstLineChars="200"/>
        <w:rPr>
          <w:rFonts w:ascii="宋体" w:hAnsi="宋体" w:cs="宋体"/>
          <w:bCs/>
          <w:sz w:val="24"/>
        </w:rPr>
      </w:pPr>
      <w:r>
        <w:rPr>
          <w:rFonts w:hint="eastAsia" w:cs="仿宋" w:asciiTheme="minorEastAsia" w:hAnsiTheme="minorEastAsia" w:eastAsiaTheme="minorEastAsia"/>
          <w:sz w:val="24"/>
        </w:rPr>
        <w:t>（5）</w:t>
      </w:r>
      <w:r>
        <w:rPr>
          <w:rFonts w:hint="eastAsia" w:ascii="宋体" w:hAnsi="宋体" w:cs="宋体"/>
          <w:bCs/>
          <w:sz w:val="24"/>
        </w:rPr>
        <w:t>政策性功能</w:t>
      </w:r>
    </w:p>
    <w:p>
      <w:pPr>
        <w:widowControl/>
        <w:adjustRightInd w:val="0"/>
        <w:spacing w:line="440" w:lineRule="exact"/>
        <w:ind w:firstLine="480" w:firstLineChars="200"/>
        <w:rPr>
          <w:rFonts w:ascii="宋体" w:hAnsi="宋体" w:cs="宋体"/>
          <w:sz w:val="24"/>
        </w:rPr>
      </w:pPr>
      <w:r>
        <w:rPr>
          <w:rFonts w:hint="eastAsia" w:ascii="宋体" w:hAnsi="宋体" w:cs="宋体"/>
          <w:sz w:val="24"/>
        </w:rPr>
        <w:t>5.1投标人所报产品列入财政部、生态环境部的环境标志产品政府采购品目清单和节能产品政府采购品目清单的：</w:t>
      </w:r>
    </w:p>
    <w:p>
      <w:pPr>
        <w:widowControl/>
        <w:adjustRightInd w:val="0"/>
        <w:spacing w:line="440" w:lineRule="exact"/>
        <w:ind w:firstLine="480" w:firstLineChars="200"/>
        <w:rPr>
          <w:rFonts w:ascii="宋体" w:hAnsi="宋体" w:cs="宋体"/>
          <w:sz w:val="24"/>
        </w:rPr>
      </w:pPr>
      <w:r>
        <w:rPr>
          <w:rFonts w:hint="eastAsia" w:ascii="宋体" w:hAnsi="宋体" w:cs="宋体"/>
          <w:sz w:val="24"/>
        </w:rPr>
        <w:t>在价格评审项中，对节能、环保产品分别给予加分（加分=价格评标总分值×5%×节能、环保产品价格在投标报价中所占比例）；</w:t>
      </w:r>
    </w:p>
    <w:p>
      <w:pPr>
        <w:widowControl/>
        <w:adjustRightInd w:val="0"/>
        <w:spacing w:line="440" w:lineRule="exact"/>
        <w:ind w:firstLine="480" w:firstLineChars="200"/>
        <w:rPr>
          <w:rFonts w:ascii="宋体" w:hAnsi="宋体" w:cs="宋体"/>
          <w:sz w:val="24"/>
        </w:rPr>
      </w:pPr>
      <w:r>
        <w:rPr>
          <w:rFonts w:hint="eastAsia" w:ascii="宋体" w:hAnsi="宋体" w:cs="宋体"/>
          <w:sz w:val="24"/>
        </w:rPr>
        <w:t>在技术评审项中，对节能、环保产品分别给予加分（加分=技术评标总分值×5%×节能、环保产品价格在投标报价中所占比例）。</w:t>
      </w:r>
    </w:p>
    <w:p>
      <w:pPr>
        <w:widowControl/>
        <w:adjustRightInd w:val="0"/>
        <w:spacing w:line="440" w:lineRule="exact"/>
        <w:ind w:firstLine="480" w:firstLineChars="200"/>
        <w:rPr>
          <w:rFonts w:ascii="宋体" w:hAnsi="宋体" w:cs="宋体"/>
          <w:sz w:val="24"/>
        </w:rPr>
      </w:pPr>
      <w:r>
        <w:rPr>
          <w:rFonts w:hint="eastAsia" w:ascii="宋体" w:hAnsi="宋体" w:cs="宋体"/>
          <w:sz w:val="24"/>
        </w:rPr>
        <w:t>本项计分以投标人提供的有效期之内的节能产品、环境标志产品认证证书，市场监管总局确定的《参与实施政府采购节能产品认证机构名录》、《参与实施政府采购环境标志产品认证机构名录》公告截图，节能产品政府采购品目清单、环境标志产品政府采购品目清单。以上三项缺一不可，否则不予认可。</w:t>
      </w:r>
    </w:p>
    <w:p>
      <w:pPr>
        <w:widowControl/>
        <w:adjustRightInd w:val="0"/>
        <w:spacing w:line="440" w:lineRule="exact"/>
        <w:ind w:firstLine="480" w:firstLineChars="200"/>
        <w:rPr>
          <w:rFonts w:ascii="宋体" w:hAnsi="宋体" w:cs="宋体"/>
          <w:sz w:val="24"/>
        </w:rPr>
      </w:pPr>
      <w:r>
        <w:rPr>
          <w:rFonts w:hint="eastAsia" w:ascii="宋体" w:hAnsi="宋体" w:cs="宋体"/>
          <w:sz w:val="24"/>
        </w:rPr>
        <w:t>投标人所填写的内容必须真实、可靠，如有虚假或隐瞒，一经查实将导致投标被拒绝。</w:t>
      </w:r>
    </w:p>
    <w:p>
      <w:pPr>
        <w:widowControl/>
        <w:adjustRightInd w:val="0"/>
        <w:spacing w:line="440" w:lineRule="exact"/>
        <w:ind w:firstLine="480" w:firstLineChars="200"/>
        <w:rPr>
          <w:rFonts w:ascii="宋体" w:hAnsi="宋体" w:cs="宋体"/>
          <w:sz w:val="24"/>
        </w:rPr>
      </w:pPr>
      <w:r>
        <w:rPr>
          <w:rFonts w:hint="eastAsia" w:ascii="宋体" w:hAnsi="宋体" w:cs="宋体"/>
          <w:sz w:val="24"/>
        </w:rPr>
        <w:t>5.2小微企业</w:t>
      </w:r>
    </w:p>
    <w:p>
      <w:pPr>
        <w:widowControl/>
        <w:adjustRightInd w:val="0"/>
        <w:spacing w:line="440" w:lineRule="exact"/>
        <w:ind w:firstLine="480" w:firstLineChars="200"/>
        <w:rPr>
          <w:rFonts w:ascii="宋体" w:hAnsi="宋体" w:cs="宋体"/>
          <w:sz w:val="24"/>
        </w:rPr>
      </w:pPr>
      <w:r>
        <w:rPr>
          <w:rFonts w:hint="eastAsia" w:ascii="宋体" w:hAnsi="宋体" w:cs="宋体"/>
          <w:sz w:val="24"/>
        </w:rPr>
        <w:t>给予小型和微型企业产品的价格6%的扣除；计算方法是：</w:t>
      </w:r>
    </w:p>
    <w:p>
      <w:pPr>
        <w:widowControl/>
        <w:adjustRightInd w:val="0"/>
        <w:spacing w:line="440" w:lineRule="exact"/>
        <w:ind w:firstLine="480" w:firstLineChars="200"/>
        <w:rPr>
          <w:rFonts w:ascii="宋体" w:hAnsi="宋体" w:cs="宋体"/>
          <w:sz w:val="24"/>
        </w:rPr>
      </w:pPr>
      <w:r>
        <w:rPr>
          <w:rFonts w:hint="eastAsia" w:ascii="宋体" w:hAnsi="宋体" w:cs="宋体"/>
          <w:sz w:val="24"/>
        </w:rPr>
        <w:t>最终价格＝投标报价×94%，按照最终价格计算其价格分得分。</w:t>
      </w:r>
    </w:p>
    <w:p>
      <w:pPr>
        <w:widowControl/>
        <w:adjustRightInd w:val="0"/>
        <w:spacing w:line="440" w:lineRule="exact"/>
        <w:ind w:firstLine="480" w:firstLineChars="200"/>
        <w:rPr>
          <w:rFonts w:ascii="宋体" w:hAnsi="宋体" w:cs="宋体"/>
          <w:sz w:val="24"/>
        </w:rPr>
      </w:pPr>
      <w:r>
        <w:rPr>
          <w:rFonts w:hint="eastAsia" w:ascii="宋体" w:hAnsi="宋体" w:cs="宋体"/>
          <w:sz w:val="24"/>
        </w:rPr>
        <w:t>开标时，投标人须提供《中小企业声明函》原件（代理商投标的，还须提供生产厂家的《中小企业声明函》原件，下同），否则不给予价格扣除。</w:t>
      </w:r>
    </w:p>
    <w:p>
      <w:pPr>
        <w:widowControl/>
        <w:adjustRightInd w:val="0"/>
        <w:spacing w:line="440" w:lineRule="exact"/>
        <w:ind w:firstLine="480" w:firstLineChars="200"/>
        <w:rPr>
          <w:rFonts w:ascii="宋体" w:hAnsi="宋体" w:cs="宋体"/>
          <w:sz w:val="24"/>
        </w:rPr>
      </w:pPr>
      <w:r>
        <w:rPr>
          <w:rFonts w:hint="eastAsia" w:ascii="宋体" w:hAnsi="宋体" w:cs="宋体"/>
          <w:sz w:val="24"/>
        </w:rPr>
        <w:t>大中型企业和法人、其他组织或者自然人与小型、微型企业组成联合体投标，联合协议中约定，小型、微型企业的协议合同金额占到联合体协议合同金额30%以上的，可给予联合体2%的价格扣除。计算方法是：</w:t>
      </w:r>
    </w:p>
    <w:p>
      <w:pPr>
        <w:widowControl/>
        <w:adjustRightInd w:val="0"/>
        <w:spacing w:line="440" w:lineRule="exact"/>
        <w:ind w:firstLine="480" w:firstLineChars="200"/>
        <w:rPr>
          <w:rFonts w:ascii="宋体" w:hAnsi="宋体" w:cs="宋体"/>
          <w:sz w:val="24"/>
        </w:rPr>
      </w:pPr>
      <w:r>
        <w:rPr>
          <w:rFonts w:hint="eastAsia" w:ascii="宋体" w:hAnsi="宋体" w:cs="宋体"/>
          <w:sz w:val="24"/>
        </w:rPr>
        <w:t>计算方法：最终价格＝投标报价×98%，按照最终价格计算其价格分得分。</w:t>
      </w:r>
    </w:p>
    <w:p>
      <w:pPr>
        <w:widowControl/>
        <w:adjustRightInd w:val="0"/>
        <w:spacing w:line="440" w:lineRule="exact"/>
        <w:ind w:firstLine="480" w:firstLineChars="200"/>
        <w:rPr>
          <w:rFonts w:ascii="宋体" w:hAnsi="宋体" w:cs="宋体"/>
          <w:sz w:val="24"/>
        </w:rPr>
      </w:pPr>
      <w:r>
        <w:rPr>
          <w:rFonts w:hint="eastAsia" w:ascii="宋体" w:hAnsi="宋体" w:cs="宋体"/>
          <w:sz w:val="24"/>
        </w:rPr>
        <w:t>5.3监狱企业</w:t>
      </w:r>
    </w:p>
    <w:p>
      <w:pPr>
        <w:widowControl/>
        <w:adjustRightInd w:val="0"/>
        <w:spacing w:line="440" w:lineRule="exact"/>
        <w:ind w:firstLine="480" w:firstLineChars="200"/>
        <w:rPr>
          <w:rFonts w:ascii="宋体" w:hAnsi="宋体" w:cs="宋体"/>
          <w:sz w:val="24"/>
        </w:rPr>
      </w:pPr>
      <w:r>
        <w:rPr>
          <w:rFonts w:hint="eastAsia" w:ascii="宋体" w:hAnsi="宋体" w:cs="宋体"/>
          <w:sz w:val="24"/>
        </w:rPr>
        <w:t>给予监狱企业（包括相互之间组成的联合体）产品的价格6%的扣除；计算方法是：</w:t>
      </w:r>
    </w:p>
    <w:p>
      <w:pPr>
        <w:widowControl/>
        <w:adjustRightInd w:val="0"/>
        <w:spacing w:line="440" w:lineRule="exact"/>
        <w:ind w:firstLine="480" w:firstLineChars="200"/>
        <w:rPr>
          <w:rFonts w:ascii="宋体" w:hAnsi="宋体" w:cs="宋体"/>
          <w:sz w:val="24"/>
        </w:rPr>
      </w:pPr>
      <w:r>
        <w:rPr>
          <w:rFonts w:hint="eastAsia" w:ascii="宋体" w:hAnsi="宋体" w:cs="宋体"/>
          <w:sz w:val="24"/>
        </w:rPr>
        <w:t>最终价格＝投标报价×94%，按照最终价格计算其价格分得分。</w:t>
      </w:r>
    </w:p>
    <w:p>
      <w:pPr>
        <w:widowControl/>
        <w:adjustRightInd w:val="0"/>
        <w:spacing w:line="440" w:lineRule="exact"/>
        <w:ind w:firstLine="480" w:firstLineChars="200"/>
        <w:rPr>
          <w:rFonts w:ascii="宋体" w:hAnsi="宋体" w:cs="宋体"/>
          <w:sz w:val="24"/>
        </w:rPr>
      </w:pPr>
      <w:r>
        <w:rPr>
          <w:rFonts w:hint="eastAsia" w:ascii="宋体" w:hAnsi="宋体" w:cs="宋体"/>
          <w:sz w:val="24"/>
        </w:rPr>
        <w:t>开标时，投标人须提供省级以上监狱管理局、戒毒管理局（含新疆生产建设兵团）出具的属于监狱企业的证明文件原件，否则不给予价格扣除。</w:t>
      </w:r>
    </w:p>
    <w:p>
      <w:pPr>
        <w:widowControl/>
        <w:adjustRightInd w:val="0"/>
        <w:spacing w:line="440" w:lineRule="exact"/>
        <w:ind w:firstLine="480" w:firstLineChars="200"/>
        <w:rPr>
          <w:rFonts w:ascii="宋体" w:hAnsi="宋体" w:cs="宋体"/>
          <w:sz w:val="24"/>
        </w:rPr>
      </w:pPr>
      <w:r>
        <w:rPr>
          <w:rFonts w:hint="eastAsia" w:ascii="宋体" w:hAnsi="宋体" w:cs="宋体"/>
          <w:sz w:val="24"/>
        </w:rPr>
        <w:t>法人、其他组织或者自然人与监狱企业组成联合体投标，联合协议中约定，监狱企业的协议合同金额占到联合体协议合同金额30%以上的，可给予联合体2%的价格扣除。计算方法是：</w:t>
      </w:r>
    </w:p>
    <w:p>
      <w:pPr>
        <w:widowControl/>
        <w:adjustRightInd w:val="0"/>
        <w:spacing w:line="440" w:lineRule="exact"/>
        <w:ind w:firstLine="480" w:firstLineChars="200"/>
        <w:rPr>
          <w:rFonts w:ascii="宋体" w:hAnsi="宋体" w:cs="宋体"/>
          <w:sz w:val="24"/>
        </w:rPr>
      </w:pPr>
      <w:r>
        <w:rPr>
          <w:rFonts w:hint="eastAsia" w:ascii="宋体" w:hAnsi="宋体" w:cs="宋体"/>
          <w:sz w:val="24"/>
        </w:rPr>
        <w:t>最终价格＝投标报价×98%，按照最终价格计算其价格分得分。</w:t>
      </w:r>
    </w:p>
    <w:p>
      <w:pPr>
        <w:widowControl/>
        <w:adjustRightInd w:val="0"/>
        <w:spacing w:line="440" w:lineRule="exact"/>
        <w:ind w:firstLine="480" w:firstLineChars="200"/>
        <w:rPr>
          <w:rFonts w:ascii="宋体" w:hAnsi="宋体" w:cs="宋体"/>
          <w:sz w:val="24"/>
        </w:rPr>
      </w:pPr>
      <w:r>
        <w:rPr>
          <w:rFonts w:hint="eastAsia" w:ascii="宋体" w:hAnsi="宋体" w:cs="宋体"/>
          <w:sz w:val="24"/>
        </w:rPr>
        <w:t>开标时，投标人须同时提供省级以上监狱管理局、戒毒管理局（含新疆生产建设兵团）出具的属于监狱企业的证明文件原件和联合体协议原件，否则不给予价格扣除。</w:t>
      </w:r>
    </w:p>
    <w:p>
      <w:pPr>
        <w:widowControl/>
        <w:adjustRightInd w:val="0"/>
        <w:spacing w:line="440" w:lineRule="exact"/>
        <w:ind w:firstLine="480" w:firstLineChars="200"/>
        <w:rPr>
          <w:rFonts w:ascii="宋体" w:hAnsi="宋体" w:cs="宋体"/>
          <w:sz w:val="24"/>
        </w:rPr>
      </w:pPr>
      <w:r>
        <w:rPr>
          <w:rFonts w:hint="eastAsia" w:ascii="宋体" w:hAnsi="宋体" w:cs="宋体"/>
          <w:sz w:val="24"/>
        </w:rPr>
        <w:t>5.4残疾人福利性单位</w:t>
      </w:r>
    </w:p>
    <w:p>
      <w:pPr>
        <w:widowControl/>
        <w:adjustRightInd w:val="0"/>
        <w:spacing w:line="440" w:lineRule="exact"/>
        <w:ind w:firstLine="480" w:firstLineChars="200"/>
        <w:rPr>
          <w:rFonts w:ascii="宋体" w:hAnsi="宋体" w:cs="宋体"/>
          <w:sz w:val="24"/>
        </w:rPr>
      </w:pPr>
      <w:r>
        <w:rPr>
          <w:rFonts w:hint="eastAsia" w:ascii="宋体" w:hAnsi="宋体" w:cs="宋体"/>
          <w:sz w:val="24"/>
        </w:rPr>
        <w:t>给予残疾人福利性单位（包括相互之间组成的联合体）产品价格 6%的扣除；</w:t>
      </w:r>
    </w:p>
    <w:p>
      <w:pPr>
        <w:widowControl/>
        <w:adjustRightInd w:val="0"/>
        <w:spacing w:line="440" w:lineRule="exact"/>
        <w:ind w:firstLine="480" w:firstLineChars="200"/>
        <w:rPr>
          <w:rFonts w:ascii="宋体" w:hAnsi="宋体" w:cs="宋体"/>
          <w:sz w:val="24"/>
        </w:rPr>
      </w:pPr>
      <w:r>
        <w:rPr>
          <w:rFonts w:hint="eastAsia" w:ascii="宋体" w:hAnsi="宋体" w:cs="宋体"/>
          <w:sz w:val="24"/>
        </w:rPr>
        <w:t>计算方法是：最终价格＝投标报价×94%，按照最终价格计算其价格分得分。</w:t>
      </w:r>
    </w:p>
    <w:p>
      <w:pPr>
        <w:widowControl/>
        <w:adjustRightInd w:val="0"/>
        <w:spacing w:line="440" w:lineRule="exact"/>
        <w:ind w:firstLine="480" w:firstLineChars="200"/>
        <w:rPr>
          <w:rFonts w:ascii="宋体" w:hAnsi="宋体" w:cs="宋体"/>
          <w:sz w:val="24"/>
        </w:rPr>
      </w:pPr>
      <w:r>
        <w:rPr>
          <w:rFonts w:hint="eastAsia" w:ascii="宋体" w:hAnsi="宋体" w:cs="宋体"/>
          <w:sz w:val="24"/>
        </w:rPr>
        <w:t>开标时，供应商若为残疾人福利性单位的，按照附件《残疾人福利性单位声明函》格式填写，并提交原件（代理商投标的，还须提供代理商企业的《残疾人福利性单位声明函》原件，下同），否则不给予价格扣除。残疾人福利性单位提供非残疾人福利性单位的货物/服务的，视同为非残疾人福利性单位。</w:t>
      </w:r>
    </w:p>
    <w:p>
      <w:pPr>
        <w:widowControl/>
        <w:adjustRightInd w:val="0"/>
        <w:spacing w:line="440" w:lineRule="exact"/>
        <w:ind w:firstLine="480" w:firstLineChars="200"/>
        <w:rPr>
          <w:rFonts w:ascii="宋体" w:hAnsi="宋体" w:cs="宋体"/>
          <w:sz w:val="24"/>
        </w:rPr>
      </w:pPr>
      <w:r>
        <w:rPr>
          <w:rFonts w:hint="eastAsia" w:ascii="宋体" w:hAnsi="宋体" w:cs="宋体"/>
          <w:sz w:val="24"/>
        </w:rPr>
        <w:t>非残疾人福利性单位或者自然人与残疾人福利性单位组成联合体投标，联合协议中约定，残疾人福利性单位的协议合同金额占到联合体协议合同金额 30%以上的，可给予联合体 2%的价格扣除。</w:t>
      </w:r>
    </w:p>
    <w:p>
      <w:pPr>
        <w:widowControl/>
        <w:adjustRightInd w:val="0"/>
        <w:spacing w:line="440" w:lineRule="exact"/>
        <w:ind w:firstLine="480" w:firstLineChars="200"/>
        <w:rPr>
          <w:rFonts w:ascii="宋体" w:hAnsi="宋体" w:cs="宋体"/>
          <w:sz w:val="24"/>
        </w:rPr>
      </w:pPr>
      <w:r>
        <w:rPr>
          <w:rFonts w:hint="eastAsia" w:ascii="宋体" w:hAnsi="宋体" w:cs="宋体"/>
          <w:sz w:val="24"/>
        </w:rPr>
        <w:t>计算方法是：最终价格＝投标报价×98%，按照最终价格计算其价格分得分。</w:t>
      </w:r>
    </w:p>
    <w:p>
      <w:pPr>
        <w:widowControl/>
        <w:adjustRightInd w:val="0"/>
        <w:spacing w:line="440" w:lineRule="exact"/>
        <w:ind w:firstLine="480" w:firstLineChars="200"/>
        <w:rPr>
          <w:rFonts w:ascii="宋体" w:hAnsi="宋体" w:cs="宋体"/>
          <w:sz w:val="24"/>
        </w:rPr>
      </w:pPr>
      <w:r>
        <w:rPr>
          <w:rFonts w:hint="eastAsia" w:ascii="宋体" w:hAnsi="宋体" w:cs="宋体"/>
          <w:sz w:val="24"/>
        </w:rPr>
        <w:t>开标时，供应商须同时提供《残疾人福利性单位声明函》原件和联合体协议原件，否则不给予价格扣除。</w:t>
      </w:r>
    </w:p>
    <w:p>
      <w:pPr>
        <w:widowControl/>
        <w:adjustRightInd w:val="0"/>
        <w:spacing w:line="440" w:lineRule="exact"/>
        <w:ind w:firstLine="480" w:firstLineChars="200"/>
        <w:rPr>
          <w:rFonts w:ascii="宋体" w:hAnsi="宋体" w:cs="宋体"/>
          <w:sz w:val="24"/>
        </w:rPr>
      </w:pPr>
      <w:r>
        <w:rPr>
          <w:rFonts w:hint="eastAsia" w:ascii="宋体" w:hAnsi="宋体" w:cs="宋体"/>
          <w:sz w:val="24"/>
        </w:rPr>
        <w:t>5.5.供应商有前述组合情形的，应累计给予价格扣除，残疾人福利性单位属于小型、微型企业的，不重复享受政策。</w:t>
      </w:r>
    </w:p>
    <w:p>
      <w:pPr>
        <w:pStyle w:val="2"/>
        <w:ind w:firstLine="480"/>
      </w:pPr>
    </w:p>
    <w:p>
      <w:pPr>
        <w:spacing w:line="440" w:lineRule="exact"/>
        <w:ind w:firstLine="480" w:firstLineChars="200"/>
        <w:rPr>
          <w:rFonts w:ascii="宋体" w:hAnsi="宋体" w:cs="仿宋"/>
          <w:color w:val="000000"/>
          <w:sz w:val="24"/>
          <w:szCs w:val="24"/>
          <w:highlight w:val="yellow"/>
        </w:rPr>
      </w:pPr>
      <w:r>
        <w:rPr>
          <w:rFonts w:hint="eastAsia" w:ascii="宋体" w:hAnsi="宋体" w:cs="仿宋"/>
          <w:color w:val="000000"/>
          <w:sz w:val="24"/>
          <w:szCs w:val="24"/>
          <w:highlight w:val="yellow"/>
        </w:rPr>
        <w:t>（6）评分细则</w:t>
      </w:r>
    </w:p>
    <w:tbl>
      <w:tblPr>
        <w:tblStyle w:val="56"/>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930"/>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949" w:type="dxa"/>
            <w:vAlign w:val="center"/>
          </w:tcPr>
          <w:p>
            <w:pPr>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评审项目</w:t>
            </w:r>
          </w:p>
        </w:tc>
        <w:tc>
          <w:tcPr>
            <w:tcW w:w="930" w:type="dxa"/>
            <w:vAlign w:val="center"/>
          </w:tcPr>
          <w:p>
            <w:pPr>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p>
            <w:pPr>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100分</w:t>
            </w:r>
          </w:p>
        </w:tc>
        <w:tc>
          <w:tcPr>
            <w:tcW w:w="7161" w:type="dxa"/>
            <w:vAlign w:val="center"/>
          </w:tcPr>
          <w:p>
            <w:pPr>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9" w:type="dxa"/>
            <w:vAlign w:val="center"/>
          </w:tcPr>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c>
          <w:tcPr>
            <w:tcW w:w="930" w:type="dxa"/>
            <w:vAlign w:val="center"/>
          </w:tcPr>
          <w:p>
            <w:pPr>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7161" w:type="dxa"/>
          </w:tcPr>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满足招标文件要求且投标价格最低的投标报价为评标基准价，其价格分为30分；其他投标人的价格分按照下列公式计算：投标报价得分=（评标基准价/投标价格）×30。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5" w:hRule="atLeast"/>
        </w:trPr>
        <w:tc>
          <w:tcPr>
            <w:tcW w:w="949" w:type="dxa"/>
            <w:vMerge w:val="restart"/>
            <w:vAlign w:val="center"/>
          </w:tcPr>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产品质量、技术性能</w:t>
            </w:r>
          </w:p>
        </w:tc>
        <w:tc>
          <w:tcPr>
            <w:tcW w:w="930" w:type="dxa"/>
            <w:vAlign w:val="center"/>
          </w:tcPr>
          <w:p>
            <w:pPr>
              <w:spacing w:line="360" w:lineRule="exact"/>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w:t>
            </w:r>
          </w:p>
        </w:tc>
        <w:tc>
          <w:tcPr>
            <w:tcW w:w="7161" w:type="dxa"/>
            <w:vAlign w:val="center"/>
          </w:tcPr>
          <w:p>
            <w:pPr>
              <w:spacing w:line="36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产品配置及性能分为三个评价等级（满分20 分）：产品整体</w:t>
            </w:r>
          </w:p>
          <w:p>
            <w:pPr>
              <w:spacing w:line="36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配备优良，主要技术性能、指标、功能优于招标文件要求，性能稳定，故障率较低，得 25～21分；产品整体配备较好，主要技术性能、指标、功能符合招标文件要求，性能稳定，故障率较低，得 20～16分；产品整体配备一般，主要技术性能、指标、功能基本符合招标文件要求，性能稳定性一般，得15～10 分；产品主要技术性能、指标、功能与招标文件有重大偏离的则按无效投标处理。</w:t>
            </w:r>
          </w:p>
          <w:p>
            <w:pPr>
              <w:spacing w:line="36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须提供投标产品彩页及相应技术参数的厂家使用说明书、检测报告全本清晰影印件等作为技术证明文件佐证材料（如厂家的产品使用说明书为英文版，请同时提供中文版），否则评标委员会有权视相应技术参数不响应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949" w:type="dxa"/>
            <w:vMerge w:val="continue"/>
            <w:vAlign w:val="center"/>
          </w:tcPr>
          <w:p>
            <w:pPr>
              <w:spacing w:line="360" w:lineRule="exact"/>
              <w:rPr>
                <w:rFonts w:asciiTheme="minorEastAsia" w:hAnsiTheme="minorEastAsia" w:eastAsiaTheme="minorEastAsia" w:cstheme="minorEastAsia"/>
                <w:sz w:val="24"/>
                <w:szCs w:val="24"/>
              </w:rPr>
            </w:pPr>
          </w:p>
        </w:tc>
        <w:tc>
          <w:tcPr>
            <w:tcW w:w="930" w:type="dxa"/>
            <w:vAlign w:val="center"/>
          </w:tcPr>
          <w:p>
            <w:pPr>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161" w:type="dxa"/>
            <w:vAlign w:val="center"/>
          </w:tcPr>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对供应商所投产品的品牌、性能、市场占有率、使用寿命等进行比对，符合或优于国家、行业相关技术规范、相关规定及招标文件要求，根据响应情况酌情得5-4分，3-2分，1-0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949" w:type="dxa"/>
            <w:vMerge w:val="continue"/>
            <w:vAlign w:val="center"/>
          </w:tcPr>
          <w:p>
            <w:pPr>
              <w:spacing w:line="360" w:lineRule="exact"/>
              <w:jc w:val="center"/>
              <w:rPr>
                <w:rFonts w:asciiTheme="minorEastAsia" w:hAnsiTheme="minorEastAsia" w:eastAsiaTheme="minorEastAsia" w:cstheme="minorEastAsia"/>
                <w:sz w:val="24"/>
                <w:szCs w:val="24"/>
              </w:rPr>
            </w:pPr>
          </w:p>
        </w:tc>
        <w:tc>
          <w:tcPr>
            <w:tcW w:w="930" w:type="dxa"/>
            <w:vAlign w:val="center"/>
          </w:tcPr>
          <w:p>
            <w:pPr>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161" w:type="dxa"/>
            <w:vAlign w:val="center"/>
          </w:tcPr>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根据所投产品机型新技术、新工艺的说明、货物运行和维护费用的说明进行评定，技术先进、运行稳定、维护费用低，得 5-4 分；供应商所投设备为当前国内或者国际一般技术水平，得 3-2 分；供应商所投设备技术较为落后，且市场认知度较低的，得 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949" w:type="dxa"/>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技术保证措施等</w:t>
            </w:r>
          </w:p>
        </w:tc>
        <w:tc>
          <w:tcPr>
            <w:tcW w:w="930" w:type="dxa"/>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7161" w:type="dxa"/>
            <w:vAlign w:val="center"/>
          </w:tcPr>
          <w:p>
            <w:pPr>
              <w:widowControl/>
              <w:numPr>
                <w:ilvl w:val="0"/>
                <w:numId w:val="8"/>
              </w:numPr>
              <w:spacing w:line="36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产品主要技术保证措施较完善、可行性高的，得5-4分，产品主要技术保证措施完善度、可行性一般的，得3-2分，产品主要技术保证措施完善度、可行性低的得1-0分，无此项的不得分；</w:t>
            </w:r>
          </w:p>
          <w:p>
            <w:pPr>
              <w:widowControl/>
              <w:numPr>
                <w:ilvl w:val="0"/>
                <w:numId w:val="8"/>
              </w:numPr>
              <w:spacing w:line="36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对投标人提供的整体技术方案进行评估，方案较完整、合理、可行性高的得5-4分，方案完整性、合理性、可行性一般的得3-2分，方案完整性、合理性、可行性低的得1-0分，无此项的不得分。</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3、人员培训计划和应用技术支持较完善、可行性高的，得5-4分，人员培训计划和应用技术支持完善度、可行性一般的，得3-2分，人员培训计划和应用技术支持完善度、可行性低的得1-0分，无此项的不得分。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949" w:type="dxa"/>
            <w:vAlign w:val="center"/>
          </w:tcPr>
          <w:p>
            <w:pPr>
              <w:pStyle w:val="139"/>
              <w:spacing w:before="3" w:line="360" w:lineRule="exact"/>
              <w:jc w:val="center"/>
              <w:rPr>
                <w:rFonts w:asciiTheme="minorEastAsia" w:hAnsiTheme="minorEastAsia" w:eastAsiaTheme="minorEastAsia" w:cstheme="minorEastAsia"/>
                <w:sz w:val="24"/>
                <w:szCs w:val="24"/>
              </w:rPr>
            </w:pPr>
          </w:p>
          <w:p>
            <w:pPr>
              <w:pStyle w:val="139"/>
              <w:spacing w:line="360" w:lineRule="exact"/>
              <w:ind w:left="107" w:right="89"/>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交货期其他优惠条件</w:t>
            </w:r>
          </w:p>
        </w:tc>
        <w:tc>
          <w:tcPr>
            <w:tcW w:w="930" w:type="dxa"/>
          </w:tcPr>
          <w:p>
            <w:pPr>
              <w:pStyle w:val="139"/>
              <w:spacing w:line="360" w:lineRule="exact"/>
              <w:rPr>
                <w:rFonts w:asciiTheme="minorEastAsia" w:hAnsiTheme="minorEastAsia" w:eastAsiaTheme="minorEastAsia" w:cstheme="minorEastAsia"/>
                <w:sz w:val="24"/>
                <w:szCs w:val="24"/>
              </w:rPr>
            </w:pPr>
          </w:p>
          <w:p>
            <w:pPr>
              <w:pStyle w:val="139"/>
              <w:spacing w:before="6" w:line="360" w:lineRule="exact"/>
              <w:rPr>
                <w:rFonts w:asciiTheme="minorEastAsia" w:hAnsiTheme="minorEastAsia" w:eastAsiaTheme="minorEastAsia" w:cstheme="minorEastAsia"/>
                <w:sz w:val="24"/>
                <w:szCs w:val="24"/>
              </w:rPr>
            </w:pPr>
          </w:p>
          <w:p>
            <w:pPr>
              <w:pStyle w:val="139"/>
              <w:spacing w:line="360" w:lineRule="exact"/>
              <w:ind w:left="6"/>
              <w:jc w:val="center"/>
              <w:rPr>
                <w:rFonts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7161" w:type="dxa"/>
            <w:vAlign w:val="center"/>
          </w:tcPr>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根据采购人的实际需要，对送货、安装等制定详细的计划，提供设备供货的组织方案及时间安排情况打分，送货安装计划、供货组织方案合理性、完善度高的得5-4分，送货安装计划、供货组织方案合理性、完善度一般的得3-2分，送货安装计划、供货组织方案合理性、完善度低的得1-0分，无此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trPr>
        <w:tc>
          <w:tcPr>
            <w:tcW w:w="949" w:type="dxa"/>
            <w:vAlign w:val="center"/>
          </w:tcPr>
          <w:p>
            <w:pPr>
              <w:pStyle w:val="139"/>
              <w:spacing w:before="3" w:line="360" w:lineRule="exact"/>
              <w:jc w:val="center"/>
              <w:rPr>
                <w:rFonts w:asciiTheme="minorEastAsia" w:hAnsiTheme="minorEastAsia" w:eastAsiaTheme="minorEastAsia" w:cstheme="minorEastAsia"/>
                <w:sz w:val="24"/>
                <w:szCs w:val="24"/>
              </w:rPr>
            </w:pPr>
          </w:p>
          <w:p>
            <w:pPr>
              <w:pStyle w:val="139"/>
              <w:spacing w:line="360" w:lineRule="exact"/>
              <w:ind w:left="107"/>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售后服务支持</w:t>
            </w:r>
          </w:p>
        </w:tc>
        <w:tc>
          <w:tcPr>
            <w:tcW w:w="930" w:type="dxa"/>
          </w:tcPr>
          <w:p>
            <w:pPr>
              <w:pStyle w:val="139"/>
              <w:spacing w:before="3" w:line="360" w:lineRule="exact"/>
              <w:rPr>
                <w:rFonts w:asciiTheme="minorEastAsia" w:hAnsiTheme="minorEastAsia" w:eastAsiaTheme="minorEastAsia" w:cstheme="minorEastAsia"/>
                <w:sz w:val="24"/>
                <w:szCs w:val="24"/>
              </w:rPr>
            </w:pPr>
          </w:p>
          <w:p>
            <w:pPr>
              <w:pStyle w:val="139"/>
              <w:spacing w:line="360" w:lineRule="exact"/>
              <w:ind w:left="6"/>
              <w:jc w:val="center"/>
              <w:rPr>
                <w:rFonts w:asciiTheme="minorEastAsia" w:hAnsiTheme="minorEastAsia" w:eastAsiaTheme="minorEastAsia" w:cstheme="minorEastAsia"/>
                <w:bCs/>
                <w:sz w:val="24"/>
                <w:szCs w:val="24"/>
              </w:rPr>
            </w:pPr>
          </w:p>
          <w:p>
            <w:pPr>
              <w:pStyle w:val="139"/>
              <w:spacing w:line="360" w:lineRule="exact"/>
              <w:ind w:left="6"/>
              <w:jc w:val="center"/>
              <w:rPr>
                <w:rFonts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5</w:t>
            </w:r>
          </w:p>
        </w:tc>
        <w:tc>
          <w:tcPr>
            <w:tcW w:w="7161" w:type="dxa"/>
            <w:vAlign w:val="center"/>
          </w:tcPr>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综合考虑供应商的售后维修网点、服务标准、年限、响应时间、技术力量、培训方式等内容，以上售后服务支持内容完整性、可行性高的得5-4分，以上售后服务支持内容完整性、可行性一般的得3-2分，以上售后服务支持内容完整性、可行性低的</w:t>
            </w:r>
            <w:r>
              <w:rPr>
                <w:rFonts w:hint="eastAsia" w:asciiTheme="minorEastAsia" w:hAnsiTheme="minorEastAsia" w:eastAsiaTheme="minorEastAsia" w:cstheme="minorEastAsia"/>
                <w:sz w:val="24"/>
                <w:szCs w:val="24"/>
              </w:rPr>
              <w:t>得1-0分，无此项的不得分</w:t>
            </w:r>
            <w:r>
              <w:rPr>
                <w:rFonts w:hint="eastAsia" w:asciiTheme="minorEastAsia" w:hAnsiTheme="minorEastAsia" w:eastAsiaTheme="minorEastAsia" w:cs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trPr>
        <w:tc>
          <w:tcPr>
            <w:tcW w:w="949" w:type="dxa"/>
            <w:vAlign w:val="center"/>
          </w:tcPr>
          <w:p>
            <w:pPr>
              <w:pStyle w:val="139"/>
              <w:spacing w:line="360" w:lineRule="exact"/>
              <w:ind w:left="107"/>
              <w:jc w:val="both"/>
              <w:rPr>
                <w:rFonts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试剂性价比</w:t>
            </w:r>
          </w:p>
        </w:tc>
        <w:tc>
          <w:tcPr>
            <w:tcW w:w="930" w:type="dxa"/>
            <w:vAlign w:val="center"/>
          </w:tcPr>
          <w:p>
            <w:pPr>
              <w:pStyle w:val="139"/>
              <w:spacing w:line="360" w:lineRule="exact"/>
              <w:ind w:left="107"/>
              <w:jc w:val="center"/>
              <w:rPr>
                <w:rFonts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w:t>
            </w:r>
          </w:p>
        </w:tc>
        <w:tc>
          <w:tcPr>
            <w:tcW w:w="7161" w:type="dxa"/>
            <w:vAlign w:val="center"/>
          </w:tcPr>
          <w:p>
            <w:pPr>
              <w:pStyle w:val="139"/>
              <w:spacing w:line="360" w:lineRule="exact"/>
              <w:ind w:left="107"/>
              <w:rPr>
                <w:rFonts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根据实际报价情况（以实际价格与医院检验项目收费价格的比值作为基准），易损耗材、质控品、校准品等优惠政策进行评审，由评委在 1-10分之间进行独立评价。</w:t>
            </w:r>
          </w:p>
        </w:tc>
      </w:tr>
    </w:tbl>
    <w:p>
      <w:pPr>
        <w:spacing w:line="360" w:lineRule="auto"/>
        <w:ind w:firstLine="480" w:firstLineChars="200"/>
        <w:rPr>
          <w:rFonts w:ascii="宋体" w:hAnsi="宋体" w:cs="仿宋"/>
          <w:sz w:val="24"/>
          <w:szCs w:val="24"/>
        </w:rPr>
      </w:pPr>
    </w:p>
    <w:p>
      <w:pPr>
        <w:spacing w:line="360" w:lineRule="auto"/>
        <w:ind w:firstLine="480" w:firstLineChars="200"/>
        <w:rPr>
          <w:rFonts w:ascii="宋体" w:hAnsi="宋体" w:cs="仿宋"/>
          <w:sz w:val="24"/>
          <w:szCs w:val="24"/>
        </w:rPr>
      </w:pPr>
      <w:r>
        <w:rPr>
          <w:rFonts w:hint="eastAsia" w:ascii="宋体" w:hAnsi="宋体" w:cs="仿宋"/>
          <w:sz w:val="24"/>
          <w:szCs w:val="24"/>
        </w:rPr>
        <w:t>磋商小组根据评分细则进行综合评分，评审得分最高的作为成交人。评审得分相同的以报价从低到高排序，评审得分相同且报价相同的，按照技术指标从优到劣顺序推荐。（投标人的最终综合得分保留两位小数）</w:t>
      </w:r>
    </w:p>
    <w:p>
      <w:pPr>
        <w:pStyle w:val="8"/>
        <w:spacing w:before="0" w:after="0" w:line="240" w:lineRule="auto"/>
        <w:rPr>
          <w:sz w:val="24"/>
          <w:szCs w:val="24"/>
        </w:rPr>
      </w:pPr>
      <w:bookmarkStart w:id="35" w:name="_Toc511397065"/>
      <w:r>
        <w:rPr>
          <w:rFonts w:hint="eastAsia"/>
          <w:sz w:val="24"/>
          <w:szCs w:val="24"/>
        </w:rPr>
        <w:t>27.特殊情况下的评审方法</w:t>
      </w:r>
      <w:bookmarkEnd w:id="35"/>
    </w:p>
    <w:p>
      <w:pPr>
        <w:topLinePunct/>
        <w:spacing w:line="460" w:lineRule="exact"/>
        <w:ind w:firstLine="352" w:firstLineChars="147"/>
        <w:rPr>
          <w:rFonts w:ascii="宋体" w:hAnsi="宋体" w:cs="仿宋"/>
          <w:color w:val="000000"/>
          <w:sz w:val="24"/>
          <w:szCs w:val="24"/>
        </w:rPr>
      </w:pPr>
      <w:r>
        <w:rPr>
          <w:rFonts w:hint="eastAsia" w:ascii="宋体" w:hAnsi="宋体" w:cs="仿宋"/>
          <w:color w:val="000000"/>
          <w:sz w:val="24"/>
          <w:szCs w:val="24"/>
        </w:rPr>
        <w:t>如出现供应商达不到法定数量、全部落标、串通报价、以及供应商互相诋毁，导致磋商小组无法评审时，磋商小组有权停止采购，否决所有报价，采购人有权改用其它采购方式进行采购。</w:t>
      </w:r>
    </w:p>
    <w:p>
      <w:pPr>
        <w:pStyle w:val="8"/>
        <w:spacing w:before="0" w:after="0" w:line="240" w:lineRule="auto"/>
        <w:rPr>
          <w:sz w:val="24"/>
          <w:szCs w:val="24"/>
        </w:rPr>
      </w:pPr>
      <w:bookmarkStart w:id="36" w:name="_Toc511397066"/>
      <w:r>
        <w:rPr>
          <w:rFonts w:hint="eastAsia"/>
          <w:sz w:val="24"/>
          <w:szCs w:val="24"/>
        </w:rPr>
        <w:t>28.特别说明</w:t>
      </w:r>
      <w:bookmarkEnd w:id="36"/>
    </w:p>
    <w:p>
      <w:pPr>
        <w:topLinePunct/>
        <w:spacing w:line="460" w:lineRule="exact"/>
        <w:ind w:firstLine="360" w:firstLineChars="150"/>
        <w:rPr>
          <w:rFonts w:ascii="宋体" w:hAnsi="宋体" w:cs="仿宋"/>
          <w:color w:val="000000"/>
          <w:sz w:val="24"/>
          <w:szCs w:val="24"/>
        </w:rPr>
      </w:pPr>
      <w:r>
        <w:rPr>
          <w:rFonts w:hint="eastAsia" w:ascii="宋体" w:hAnsi="宋体" w:cs="仿宋"/>
          <w:color w:val="000000"/>
          <w:sz w:val="24"/>
          <w:szCs w:val="24"/>
        </w:rPr>
        <w:t>1）无论成交结果如何，采购人无向供应商解释其成交、未成交原因的义务。</w:t>
      </w:r>
    </w:p>
    <w:p>
      <w:pPr>
        <w:topLinePunct/>
        <w:spacing w:line="460" w:lineRule="exact"/>
        <w:ind w:firstLine="360" w:firstLineChars="150"/>
        <w:rPr>
          <w:rFonts w:ascii="宋体" w:hAnsi="宋体" w:cs="仿宋"/>
          <w:color w:val="000000"/>
          <w:sz w:val="24"/>
          <w:szCs w:val="24"/>
        </w:rPr>
      </w:pPr>
      <w:r>
        <w:rPr>
          <w:rFonts w:hint="eastAsia" w:ascii="宋体" w:hAnsi="宋体" w:cs="仿宋"/>
          <w:color w:val="000000"/>
          <w:sz w:val="24"/>
          <w:szCs w:val="24"/>
        </w:rPr>
        <w:t>2）无论成交结果如何，供应商的响应文件均不退还。</w:t>
      </w:r>
    </w:p>
    <w:p>
      <w:pPr>
        <w:topLinePunct/>
        <w:spacing w:line="460" w:lineRule="exact"/>
        <w:ind w:firstLine="360" w:firstLineChars="150"/>
        <w:rPr>
          <w:rFonts w:ascii="宋体" w:hAnsi="宋体" w:cs="仿宋"/>
          <w:color w:val="000000"/>
          <w:sz w:val="24"/>
          <w:szCs w:val="24"/>
        </w:rPr>
      </w:pPr>
      <w:r>
        <w:rPr>
          <w:rFonts w:hint="eastAsia" w:ascii="宋体" w:hAnsi="宋体" w:cs="仿宋"/>
          <w:color w:val="000000"/>
          <w:sz w:val="24"/>
          <w:szCs w:val="24"/>
        </w:rPr>
        <w:t>3）无论成交与否,已领取招标文件的供应商对招标文件负保密责任。</w:t>
      </w:r>
    </w:p>
    <w:p>
      <w:pPr>
        <w:pStyle w:val="7"/>
      </w:pPr>
      <w:bookmarkStart w:id="37" w:name="_Toc511397067"/>
      <w:r>
        <w:rPr>
          <w:rFonts w:hint="eastAsia"/>
        </w:rPr>
        <w:t>六、合同的授予</w:t>
      </w:r>
      <w:bookmarkEnd w:id="37"/>
    </w:p>
    <w:p>
      <w:pPr>
        <w:pStyle w:val="8"/>
        <w:spacing w:before="0" w:after="0" w:line="400" w:lineRule="exact"/>
        <w:rPr>
          <w:sz w:val="24"/>
          <w:szCs w:val="24"/>
        </w:rPr>
      </w:pPr>
      <w:bookmarkStart w:id="38" w:name="_Toc511397068"/>
      <w:r>
        <w:rPr>
          <w:rFonts w:hint="eastAsia"/>
          <w:sz w:val="24"/>
          <w:szCs w:val="24"/>
        </w:rPr>
        <w:t>29.合同授予标准</w:t>
      </w:r>
      <w:bookmarkEnd w:id="38"/>
    </w:p>
    <w:p>
      <w:pPr>
        <w:topLinePunct/>
        <w:spacing w:line="400" w:lineRule="exact"/>
        <w:ind w:firstLine="360" w:firstLineChars="150"/>
        <w:rPr>
          <w:rFonts w:ascii="宋体" w:hAnsi="宋体" w:cs="仿宋"/>
          <w:sz w:val="24"/>
          <w:szCs w:val="24"/>
        </w:rPr>
      </w:pPr>
      <w:r>
        <w:rPr>
          <w:rFonts w:hint="eastAsia" w:ascii="宋体" w:hAnsi="宋体" w:cs="仿宋"/>
          <w:color w:val="000000"/>
          <w:sz w:val="24"/>
          <w:szCs w:val="24"/>
        </w:rPr>
        <w:t>本项目的采购合同将授予按本须知第26条</w:t>
      </w:r>
      <w:r>
        <w:rPr>
          <w:rFonts w:hint="eastAsia" w:ascii="宋体" w:hAnsi="宋体" w:cs="仿宋"/>
          <w:sz w:val="24"/>
          <w:szCs w:val="24"/>
        </w:rPr>
        <w:t>规定确定的成交人。</w:t>
      </w:r>
    </w:p>
    <w:p>
      <w:pPr>
        <w:pStyle w:val="8"/>
        <w:spacing w:before="0" w:after="0" w:line="400" w:lineRule="exact"/>
        <w:rPr>
          <w:sz w:val="24"/>
          <w:szCs w:val="24"/>
        </w:rPr>
      </w:pPr>
      <w:bookmarkStart w:id="39" w:name="_Toc511397069"/>
      <w:r>
        <w:rPr>
          <w:rFonts w:hint="eastAsia"/>
          <w:sz w:val="24"/>
          <w:szCs w:val="24"/>
        </w:rPr>
        <w:t>30.成交通知书</w:t>
      </w:r>
      <w:bookmarkEnd w:id="39"/>
    </w:p>
    <w:p>
      <w:pPr>
        <w:spacing w:line="400" w:lineRule="exact"/>
        <w:ind w:firstLine="360" w:firstLineChars="150"/>
        <w:rPr>
          <w:rFonts w:ascii="宋体" w:hAnsi="宋体" w:cs="仿宋"/>
          <w:sz w:val="24"/>
          <w:szCs w:val="24"/>
        </w:rPr>
      </w:pPr>
      <w:r>
        <w:rPr>
          <w:rFonts w:hint="eastAsia" w:ascii="宋体" w:hAnsi="宋体" w:cs="仿宋"/>
          <w:sz w:val="24"/>
          <w:szCs w:val="24"/>
        </w:rPr>
        <w:t>1) 在报价有效期期满之前，采购代理机构将以书面形式向成交人发出《成交通知书》，确认其报价已被接受。《成交通知书》一经发出即发生法律效力。</w:t>
      </w:r>
    </w:p>
    <w:p>
      <w:pPr>
        <w:spacing w:line="400" w:lineRule="exact"/>
        <w:ind w:left="719" w:leftChars="171" w:hanging="360" w:hangingChars="150"/>
        <w:rPr>
          <w:rFonts w:ascii="宋体" w:hAnsi="宋体" w:cs="仿宋"/>
          <w:sz w:val="24"/>
          <w:szCs w:val="24"/>
        </w:rPr>
      </w:pPr>
      <w:r>
        <w:rPr>
          <w:rFonts w:hint="eastAsia" w:ascii="宋体" w:hAnsi="宋体" w:cs="仿宋"/>
          <w:sz w:val="24"/>
          <w:szCs w:val="24"/>
        </w:rPr>
        <w:t>2) 成交通知书是签订合同的依据和组成部分。</w:t>
      </w:r>
    </w:p>
    <w:p>
      <w:pPr>
        <w:pStyle w:val="8"/>
        <w:spacing w:before="0" w:after="0" w:line="400" w:lineRule="exact"/>
        <w:rPr>
          <w:sz w:val="24"/>
          <w:szCs w:val="24"/>
        </w:rPr>
      </w:pPr>
      <w:bookmarkStart w:id="40" w:name="_Toc511397070"/>
      <w:r>
        <w:rPr>
          <w:rFonts w:hint="eastAsia"/>
          <w:sz w:val="24"/>
          <w:szCs w:val="24"/>
        </w:rPr>
        <w:t>31.签订合同</w:t>
      </w:r>
      <w:bookmarkEnd w:id="40"/>
    </w:p>
    <w:p>
      <w:pPr>
        <w:spacing w:line="400" w:lineRule="exact"/>
        <w:ind w:firstLine="360" w:firstLineChars="150"/>
        <w:rPr>
          <w:rFonts w:ascii="宋体" w:hAnsi="宋体" w:cs="仿宋"/>
          <w:b/>
          <w:sz w:val="24"/>
          <w:szCs w:val="24"/>
          <w:u w:val="single"/>
        </w:rPr>
      </w:pPr>
      <w:r>
        <w:rPr>
          <w:rFonts w:hint="eastAsia" w:ascii="宋体" w:hAnsi="宋体" w:cs="仿宋"/>
          <w:sz w:val="24"/>
          <w:szCs w:val="24"/>
        </w:rPr>
        <w:t>1) 成交人应按成交通知书指定的时间、地点与采购人签订合同。招标文件、成交人的响应文件及澄清文件等，均为签订合同的依据。</w:t>
      </w:r>
      <w:r>
        <w:rPr>
          <w:rFonts w:hint="eastAsia" w:ascii="宋体" w:hAnsi="宋体" w:cs="仿宋"/>
          <w:color w:val="000000"/>
          <w:sz w:val="24"/>
          <w:szCs w:val="24"/>
        </w:rPr>
        <w:t>合同盖章生效。</w:t>
      </w:r>
    </w:p>
    <w:p>
      <w:pPr>
        <w:spacing w:line="400" w:lineRule="exact"/>
        <w:ind w:firstLine="360" w:firstLineChars="150"/>
        <w:rPr>
          <w:rFonts w:ascii="宋体" w:hAnsi="宋体" w:cs="仿宋"/>
          <w:sz w:val="24"/>
          <w:szCs w:val="24"/>
        </w:rPr>
      </w:pPr>
      <w:r>
        <w:rPr>
          <w:rFonts w:hint="eastAsia" w:ascii="宋体" w:hAnsi="宋体" w:cs="仿宋"/>
          <w:sz w:val="24"/>
          <w:szCs w:val="24"/>
        </w:rPr>
        <w:t>2) 成交人无正当理由未在规定时间内与采购人签订合同的，采购人有权取消其成交资格，并按相关法律法规规定处理。</w:t>
      </w:r>
    </w:p>
    <w:p>
      <w:pPr>
        <w:pStyle w:val="8"/>
        <w:spacing w:before="0" w:after="0" w:line="400" w:lineRule="exact"/>
        <w:rPr>
          <w:sz w:val="24"/>
          <w:szCs w:val="24"/>
        </w:rPr>
      </w:pPr>
      <w:bookmarkStart w:id="41" w:name="_Toc511397071"/>
      <w:r>
        <w:rPr>
          <w:rFonts w:hint="eastAsia"/>
          <w:sz w:val="24"/>
          <w:szCs w:val="24"/>
        </w:rPr>
        <w:t>32.成交服务费</w:t>
      </w:r>
      <w:bookmarkEnd w:id="41"/>
    </w:p>
    <w:p>
      <w:pPr>
        <w:pStyle w:val="8"/>
        <w:spacing w:before="0" w:after="0" w:line="400" w:lineRule="exact"/>
        <w:rPr>
          <w:rFonts w:ascii="宋体" w:hAnsi="宋体" w:cs="仿宋"/>
          <w:b w:val="0"/>
          <w:sz w:val="24"/>
          <w:szCs w:val="24"/>
        </w:rPr>
      </w:pPr>
      <w:r>
        <w:rPr>
          <w:rFonts w:hint="eastAsia" w:ascii="宋体" w:hAnsi="宋体" w:cs="仿宋"/>
          <w:b w:val="0"/>
          <w:sz w:val="24"/>
          <w:szCs w:val="24"/>
        </w:rPr>
        <w:t>由成交人支</w:t>
      </w:r>
      <w:r>
        <w:rPr>
          <w:rFonts w:hint="eastAsia" w:ascii="宋体" w:hAnsi="宋体" w:cs="仿宋"/>
          <w:b w:val="0"/>
          <w:sz w:val="24"/>
          <w:szCs w:val="24"/>
          <w:highlight w:val="none"/>
        </w:rPr>
        <w:t>付，收费标准：标准收费1.5%的5折。</w:t>
      </w:r>
    </w:p>
    <w:p>
      <w:pPr>
        <w:pStyle w:val="8"/>
        <w:spacing w:before="0" w:after="0" w:line="400" w:lineRule="exact"/>
        <w:rPr>
          <w:sz w:val="24"/>
          <w:szCs w:val="24"/>
        </w:rPr>
      </w:pPr>
      <w:bookmarkStart w:id="42" w:name="_Toc511397072"/>
      <w:r>
        <w:rPr>
          <w:rFonts w:hint="eastAsia"/>
          <w:sz w:val="24"/>
          <w:szCs w:val="24"/>
        </w:rPr>
        <w:t>33.公证费：</w:t>
      </w:r>
      <w:bookmarkEnd w:id="42"/>
    </w:p>
    <w:p>
      <w:pPr>
        <w:tabs>
          <w:tab w:val="left" w:pos="720"/>
        </w:tabs>
        <w:spacing w:line="400" w:lineRule="exact"/>
        <w:rPr>
          <w:rFonts w:ascii="宋体" w:hAnsi="宋体" w:cs="仿宋"/>
          <w:sz w:val="24"/>
          <w:szCs w:val="24"/>
        </w:rPr>
      </w:pPr>
      <w:r>
        <w:rPr>
          <w:rFonts w:hint="eastAsia" w:ascii="宋体" w:hAnsi="宋体" w:cs="仿宋"/>
          <w:sz w:val="24"/>
          <w:szCs w:val="24"/>
        </w:rPr>
        <w:t>公证费由临沂市兰山公证处收取，成交人支付。</w:t>
      </w:r>
    </w:p>
    <w:p>
      <w:pPr>
        <w:pStyle w:val="6"/>
        <w:spacing w:before="0" w:after="0" w:line="240" w:lineRule="auto"/>
        <w:jc w:val="center"/>
        <w:rPr>
          <w:sz w:val="32"/>
          <w:szCs w:val="32"/>
        </w:rPr>
      </w:pPr>
      <w:r>
        <w:rPr>
          <w:rFonts w:hAnsi="宋体" w:cs="仿宋"/>
          <w:sz w:val="24"/>
          <w:szCs w:val="24"/>
        </w:rPr>
        <w:br w:type="page"/>
      </w:r>
      <w:bookmarkStart w:id="43" w:name="_Toc511397073"/>
      <w:r>
        <w:rPr>
          <w:rFonts w:hint="eastAsia"/>
          <w:sz w:val="32"/>
          <w:szCs w:val="32"/>
        </w:rPr>
        <w:t>第三章   项目说明、技术要求</w:t>
      </w:r>
      <w:bookmarkEnd w:id="43"/>
    </w:p>
    <w:p>
      <w:pPr>
        <w:pStyle w:val="66"/>
        <w:rPr>
          <w:rFonts w:ascii="宋体" w:hAnsi="宋体"/>
        </w:rPr>
      </w:pPr>
    </w:p>
    <w:p>
      <w:pPr>
        <w:widowControl/>
        <w:adjustRightInd w:val="0"/>
        <w:spacing w:line="46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一、说明</w:t>
      </w:r>
    </w:p>
    <w:p>
      <w:pPr>
        <w:widowControl/>
        <w:adjustRightInd w:val="0"/>
        <w:spacing w:line="46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投标人应根据招标代理机构提供的招标文件、各自情况等进行投标报价的编制，报价应包括招标范围内的全部内容，含货物的（包括质保期内的备品备件、易损件、专用工具等）设计、生产、包装、保险、运输、装卸、安装、调试、验收、售后服务及技术支持、税费（含关税等各种税费）、合理利润等相关服务的所有费用。投标人应充分考虑本项目合同实施期间可能发生的一切费用，并承担由此而带来的风险。凡投标人在报价中未列明但又为本次招标所必备的项目或遗漏项目，招标人将一律视为已包括在其报价中，在合同执行中将不予考虑。</w:t>
      </w:r>
    </w:p>
    <w:p>
      <w:pPr>
        <w:widowControl/>
        <w:adjustRightInd w:val="0"/>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2、招标文件中如果涉及到品牌、型号等，并不表明该标的被指定，而是仅供投标人参考，投标人所投报的产品只要性能达到或超过招标文件要求，没有重大偏离，都将被视为对招标文件作出了实质性响应。</w:t>
      </w:r>
    </w:p>
    <w:p>
      <w:pPr>
        <w:widowControl/>
        <w:adjustRightInd w:val="0"/>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中制定的设备参数由招标人结合市场情况制定，某些参数可能指向某个设备，并不代表招标指定了该型号的设备，参数只做参考作用，投标人的投标设备应以参数为标准进行报价，由评标委员会进行评审。</w:t>
      </w:r>
    </w:p>
    <w:p>
      <w:pPr>
        <w:widowControl/>
        <w:adjustRightInd w:val="0"/>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3、知识产权</w:t>
      </w:r>
    </w:p>
    <w:p>
      <w:pPr>
        <w:widowControl/>
        <w:adjustRightInd w:val="0"/>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 </w:t>
      </w:r>
    </w:p>
    <w:p>
      <w:pPr>
        <w:widowControl/>
        <w:adjustRightInd w:val="0"/>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招标人享用本项目实施过程中产生的知识成果及知识产权。</w:t>
      </w:r>
    </w:p>
    <w:p>
      <w:pPr>
        <w:widowControl/>
        <w:adjustRightInd w:val="0"/>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投标人如欲在项目实施过程中采用自有知识成果，需在投标文件中声明，并提供相关知识产权证明文件。使用该知识成果后，投标人需提供开发接口和开发手册等技术文档，并承诺提供无限期技术支持，招标人享有永久使用权。</w:t>
      </w:r>
    </w:p>
    <w:p>
      <w:pPr>
        <w:widowControl/>
        <w:adjustRightInd w:val="0"/>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如采用投标人所不拥有的知识产权，则在投标报价中必须包括合法获取该知识产权的相关费用。</w:t>
      </w:r>
    </w:p>
    <w:p>
      <w:pPr>
        <w:widowControl/>
        <w:adjustRightInd w:val="0"/>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应对本项目的商务条款响应情况进行说明，若有偏差须在投标文件商务标书《商务条款偏离表》中予以说明；若没有，应注明“无偏离”字样。若没有填写《商务条款偏离表》，即视为投标人声明其完全响应招标文件的商务条款；但评标委员会有权据此就商务标书中实际不响应部分作出无效投标的决定。</w:t>
      </w:r>
    </w:p>
    <w:p>
      <w:pPr>
        <w:widowControl/>
        <w:adjustRightInd w:val="0"/>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应对其所报方案的技术指标响应情况进行说明，若有偏差须在投标文件技术标书《技术条款偏离表》中予以说明；若没有，应注明“无偏离”字样。若没有填写《技术条款偏离表》，即视为投标人声明其所报方案的技术指标完全符合招标文件技术规范的要求；评标委员会有权据此就技术标书中实际不响应部分作出无效投标的决定。</w:t>
      </w:r>
    </w:p>
    <w:p>
      <w:pPr>
        <w:widowControl/>
        <w:adjustRightInd w:val="0"/>
        <w:spacing w:line="46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二、商务要求及其他</w:t>
      </w:r>
    </w:p>
    <w:p>
      <w:pPr>
        <w:tabs>
          <w:tab w:val="left" w:pos="0"/>
        </w:tabs>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1、招标内容：临沂市妇女儿童医院干式生化分析仪、尿液分析流水线采购，投标单位报价应低于预算价，否则报价无效。</w:t>
      </w:r>
    </w:p>
    <w:p>
      <w:pPr>
        <w:tabs>
          <w:tab w:val="left" w:pos="0"/>
        </w:tabs>
        <w:spacing w:line="46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2、付款方式：合同签订货到甲方安装验收合格后支付合同额的90%，剩余10%作为质保金一年后无质量问题一次性无息付清。</w:t>
      </w:r>
    </w:p>
    <w:p>
      <w:pPr>
        <w:pStyle w:val="39"/>
      </w:pPr>
      <w:r>
        <w:rPr>
          <w:rFonts w:hint="eastAsia" w:asciiTheme="minorEastAsia" w:hAnsiTheme="minorEastAsia" w:eastAsiaTheme="minorEastAsia" w:cstheme="minorEastAsia"/>
          <w:b w:val="0"/>
          <w:kern w:val="0"/>
          <w:sz w:val="24"/>
          <w:szCs w:val="24"/>
        </w:rPr>
        <w:t>3.交货日期：签订合同后一个月内交付使用。进口产品应同时提供海关报关手续，否则不予接收。</w:t>
      </w:r>
    </w:p>
    <w:p>
      <w:pPr>
        <w:tabs>
          <w:tab w:val="left" w:pos="0"/>
        </w:tabs>
        <w:spacing w:line="4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三、A包全自动生化分析仪（干式）</w:t>
      </w:r>
    </w:p>
    <w:p>
      <w:pPr>
        <w:tabs>
          <w:tab w:val="left" w:pos="0"/>
        </w:tabs>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数量：一套 </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全自动柜式机</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自动操作方式</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试剂载体：多层涂膜胶片</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试条具有抗干扰性，避免黄疸、脂血、溶血等干扰</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标本：血、尿、脑脊液等</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标本容器：多种原始管/标本杯均可用,试管高度可调</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速度：≥300 T/h </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单标本测试时间：2.5-7.5分钟 </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检测项目：≥46项，包含肝功、肾功、心肌酶、电解质、二氧化碳、血氨等急诊检测项目</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进样方式：单个、批量标本随机连续进样</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稀释功能：可选式多倍数自动稀释或手工稀释</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取样探针：一次性吸头</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试剂位置：≥60个</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试剂准备：无需预处理，即开即用</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试剂换装：随时(无需等待机器指令)</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待机时间：24小时</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定标间隔：6个月或更换试剂批号</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质控：原厂原装质控</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操作界面：触摸屏</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管道系统：无液体管道 </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具备有机上试条冷藏功能</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有中文报告、试条及样本条形码系统</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质控品和定标品，满足国际和国内临检质监部门的有关要求和标准，并提供注册证。</w:t>
      </w:r>
    </w:p>
    <w:p>
      <w:pPr>
        <w:pStyle w:val="39"/>
        <w:spacing w:line="440" w:lineRule="exact"/>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通过国际NCCLS标准和美国FDA认证</w:t>
      </w:r>
    </w:p>
    <w:p>
      <w:pPr>
        <w:pStyle w:val="39"/>
        <w:spacing w:line="400" w:lineRule="exact"/>
        <w:rPr>
          <w:rFonts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提供耗材、试剂、质控品等优惠报价。</w:t>
      </w:r>
    </w:p>
    <w:p>
      <w:pPr>
        <w:pStyle w:val="39"/>
        <w:spacing w:line="460" w:lineRule="exact"/>
        <w:rPr>
          <w:rFonts w:asciiTheme="minorEastAsia" w:hAnsiTheme="minorEastAsia" w:eastAsiaTheme="minorEastAsia" w:cstheme="minorEastAsia"/>
          <w:color w:val="000000"/>
          <w:sz w:val="24"/>
          <w:szCs w:val="24"/>
        </w:rPr>
      </w:pPr>
    </w:p>
    <w:p>
      <w:pPr>
        <w:pStyle w:val="39"/>
        <w:spacing w:line="460" w:lineRule="exac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四、B包尿液流水线  </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数量：一套         </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1、尿有形成分分析仪</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原理：采用激光流式细胞术，以及DNA/RNA荧光染色原理</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检测通道：检测通道≥2个</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参数：可提供≥14项定量参数，包括：红细胞、白细胞、上皮细胞、管型、细菌鳞状上皮细胞、白细胞团，非鳞状上皮细胞，透明管型，病理管型、结晶、酵母样菌、精子、粘液丝和电导率。能提供6个散点图和2个直方图</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临床信息：红细胞形态学信息（可以判断血尿来源）、尿路感染的筛选（同时可以初步判断致病菌的革兰氏染色类型）、尿电导率定量分级信息（与尿渗透压高度相关）</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样本处理：待测标本无须离心和预处理，上机前仪器自动混均后吸样；标本可连续自动进样。</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进样容量：仪器具有自动进样和手工进样两种方式，全自动进样系统样品位为≥80个。</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检测速度：测定速度≥100个标本/小时</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标本量：手动进样吸样≤1.2ml，自动进样吸样≤0.6ml</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数据存储：可存储≥1000份病人数据资料。</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质量控制:24个文件及每个定量参数的300个质控数据</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质控品：配备原厂校准品、质控品，能进行日常的质量控制资料的保存和有相应的质控图。</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在线质控：提供实时在线质控服务，保证结果准确性。</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软件：全中文操作系统，尿液分析专用的分析及筛选软件可以经过对数据（尿中各有形成分定量分析数据、散点图、红细胞形态信息和异常标本提示信息）的收集、分析统计，并具有管理功能，筛选功能不仅要保证结果质量，并将假阴性率降到可接受的合理范围。</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报告单：标配尿液分析专用的中文软件，可提供中文报告单，并能进行在线升级。</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2、尿干化学分析仪</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参数：2种试纸选择。最多检测16项：包括尿干化学定性13项(GLU,PRO,BLD,BIL,PH,URO,KET,NIT,LEU，CRE，ALB，PRO/CRE比值，ALB/CRE比值）；尿比重、尿浊度、色调</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原理：尿试纸：用彩色CMOS传感器进行扫描与测光</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尿比重：反射型折射率测定</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色调：透射型测吸光度；</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浊度：透射型测吸光度</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加样方式：进行自动的定量点式加样</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进样容量：≥80个尿样（10个X8架），可连续进样</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检测速度：≥270份样本/小时</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试纸容量：≥300条</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试纸机内保存时间：1周</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样本量：尿试管中≤1ml尿液，测定使用量为≤0.25ml</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数据储存量：≥10000份病人测定结果；</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显示方式：彩色液晶屏触摸屏显示</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结果输出：内置热敏打印机（24位），也可通过输出端口与电脑连接经打印</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条码阅读器：内置条码识别器（自动读取患者编号）</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外部接口：RS-232C接口；USB*2；能与我院信息系统实现无缝对接。</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校正：CFDA认证的比重校准品</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3、流水线</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流水线连接：通过输送轨道将尿有形成分分析仪和尿干化学分析仪连接成全自动模块化流水线系统</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管理软件：配套专业中文软件</w:t>
      </w:r>
    </w:p>
    <w:p>
      <w:pPr>
        <w:pStyle w:val="39"/>
        <w:spacing w:line="400" w:lineRule="exact"/>
        <w:rPr>
          <w:rFonts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设定规则软件具有数据统计功能</w:t>
      </w:r>
    </w:p>
    <w:p>
      <w:pPr>
        <w:pStyle w:val="39"/>
        <w:spacing w:line="400" w:lineRule="exact"/>
        <w:rPr>
          <w:rFonts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提供耗材、试剂、质控品等优惠报价。</w:t>
      </w:r>
    </w:p>
    <w:p>
      <w:pPr>
        <w:rPr>
          <w:rFonts w:asciiTheme="minorEastAsia" w:hAnsiTheme="minorEastAsia" w:eastAsiaTheme="minorEastAsia" w:cstheme="minorEastAsia"/>
          <w:bCs/>
          <w:color w:val="000000"/>
          <w:sz w:val="24"/>
          <w:szCs w:val="24"/>
        </w:rPr>
      </w:pPr>
    </w:p>
    <w:p>
      <w:pPr>
        <w:pStyle w:val="39"/>
      </w:pPr>
    </w:p>
    <w:p>
      <w:pPr>
        <w:numPr>
          <w:ilvl w:val="0"/>
          <w:numId w:val="9"/>
        </w:numPr>
        <w:spacing w:line="460" w:lineRule="exact"/>
        <w:rPr>
          <w:rFonts w:ascii="宋体" w:hAnsi="宋体" w:cs="宋体"/>
          <w:b/>
          <w:bCs/>
          <w:sz w:val="24"/>
          <w:szCs w:val="24"/>
        </w:rPr>
      </w:pPr>
      <w:r>
        <w:rPr>
          <w:rFonts w:hint="eastAsia" w:ascii="宋体" w:hAnsi="宋体" w:cs="宋体"/>
          <w:b/>
          <w:bCs/>
          <w:sz w:val="24"/>
          <w:szCs w:val="24"/>
        </w:rPr>
        <w:t>售后服务及商务</w:t>
      </w:r>
    </w:p>
    <w:p>
      <w:pPr>
        <w:numPr>
          <w:ilvl w:val="0"/>
          <w:numId w:val="10"/>
        </w:num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质保期</w:t>
      </w:r>
      <w:r>
        <w:rPr>
          <w:rFonts w:hint="eastAsia" w:ascii="宋体" w:hAnsi="宋体"/>
          <w:sz w:val="24"/>
        </w:rPr>
        <w:t>≥</w:t>
      </w:r>
      <w:r>
        <w:rPr>
          <w:rFonts w:hint="eastAsia" w:ascii="宋体" w:hAnsi="宋体" w:cs="宋体"/>
          <w:color w:val="000000"/>
          <w:sz w:val="24"/>
          <w:szCs w:val="24"/>
        </w:rPr>
        <w:t>5年，终身维修。质保期外只收取零配件费用，免收人工费。 有免费维修热线，山东当地设有办事处便于售后问题的处理，响应时间＜6小时。</w:t>
      </w:r>
    </w:p>
    <w:p>
      <w:pPr>
        <w:numPr>
          <w:ilvl w:val="0"/>
          <w:numId w:val="10"/>
        </w:num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三个工作日解决不了问题即提供备用机。</w:t>
      </w:r>
    </w:p>
    <w:p>
      <w:pPr>
        <w:numPr>
          <w:ilvl w:val="0"/>
          <w:numId w:val="10"/>
        </w:num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应提供厂家维修工程师联系电话及微信联系方式。</w:t>
      </w:r>
    </w:p>
    <w:p>
      <w:pPr>
        <w:numPr>
          <w:ilvl w:val="0"/>
          <w:numId w:val="10"/>
        </w:numPr>
        <w:spacing w:line="460" w:lineRule="exact"/>
        <w:ind w:firstLine="480" w:firstLineChars="200"/>
        <w:rPr>
          <w:rFonts w:ascii="宋体" w:hAnsi="宋体" w:cs="宋体"/>
          <w:sz w:val="24"/>
          <w:szCs w:val="24"/>
        </w:rPr>
      </w:pPr>
      <w:r>
        <w:rPr>
          <w:rFonts w:hint="eastAsia" w:ascii="宋体" w:hAnsi="宋体" w:cs="宋体"/>
          <w:color w:val="000000"/>
          <w:sz w:val="24"/>
          <w:szCs w:val="24"/>
        </w:rPr>
        <w:t>明确维修服务模式是到场维修还是寄件维修。</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产地:知名品牌，同行业内省级及以上医院市场占有率高。使用成本低，产品质优价廉，厂家、代理商信誉度高，无不良信誉活动记录。</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最短供货期，服务周到，产品免费送货到使用地点并安装培训。一旦中标，供货方式为根据合同约定发货。</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严禁携带国家淘汰、禁止使用、技术落后、质量不过关的产品前来投标，产品生产日期为当年度生产，违者一经发现，终止投标并终身不能参与我方招标活动，投标结果无效。</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是属于计量或特种设备管理的设备，需经过主管部门检定后再于供货，检定费用含在设备投标价格中。设备（比如呼吸机、麻醉机、呼吸湿化器）投标时若需包含配套使用的各种接头，如氧气、负压吸引、压缩空气，以及消毒灭菌用的器械盒等。</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需提供有此设备生产、经营许可的证件，包括厂家的生产许可证、产品医疗器械注册证、经销商（代理商）经营许可证、代理授权证书、产品检验报告等，资质齐全。</w:t>
      </w:r>
    </w:p>
    <w:p>
      <w:pPr>
        <w:numPr>
          <w:ilvl w:val="0"/>
          <w:numId w:val="10"/>
        </w:numPr>
        <w:spacing w:line="460" w:lineRule="exact"/>
        <w:ind w:firstLine="482" w:firstLineChars="200"/>
        <w:rPr>
          <w:rFonts w:ascii="宋体" w:hAnsi="宋体" w:cs="宋体"/>
          <w:sz w:val="24"/>
          <w:szCs w:val="24"/>
        </w:rPr>
      </w:pPr>
      <w:r>
        <w:rPr>
          <w:rFonts w:hint="eastAsia" w:ascii="宋体" w:hAnsi="宋体" w:cs="宋体"/>
          <w:b/>
          <w:bCs/>
          <w:sz w:val="24"/>
          <w:szCs w:val="24"/>
          <w:highlight w:val="none"/>
        </w:rPr>
        <w:t>耗材、试剂、质控、校准品</w:t>
      </w:r>
      <w:r>
        <w:rPr>
          <w:rFonts w:hint="eastAsia" w:ascii="宋体" w:hAnsi="宋体" w:cs="宋体"/>
          <w:sz w:val="24"/>
          <w:szCs w:val="24"/>
        </w:rPr>
        <w:t>或易损配件，必须在投标文件中：注明能否开放使用，是否是一次性物品，是否能重复使用（重复使用的消毒方式必须注明），注明使用寿命或质保期;要单独报价，并提供厂家的生产许可证、产品医疗器械注册证、经销商（代理商）经营许可证、产品检验报告等，资质齐全。</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技术培训</w:t>
      </w:r>
    </w:p>
    <w:p>
      <w:pPr>
        <w:spacing w:line="460" w:lineRule="exact"/>
        <w:ind w:firstLine="480" w:firstLineChars="200"/>
        <w:rPr>
          <w:rFonts w:ascii="宋体" w:hAnsi="宋体" w:cs="宋体"/>
          <w:sz w:val="24"/>
          <w:szCs w:val="24"/>
        </w:rPr>
      </w:pPr>
      <w:r>
        <w:rPr>
          <w:rFonts w:hint="eastAsia" w:ascii="宋体" w:hAnsi="宋体" w:cs="宋体"/>
          <w:sz w:val="24"/>
          <w:szCs w:val="24"/>
        </w:rPr>
        <w:t>中标人应负责派专业技术人员对招标人的技术人员进行使用操作、设备维修、保养等技术方面的现场培训，直至招标人的技术人员能独立工作。中标人委派的专业技术人员所需费用由中标人承担。培训计划需在投标文件中列出。</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中标单位应保证所供货物是全新、未使用过的，是最新或最流行型号和用一流的工艺和最佳材料制造而成的，并完全符合图纸设计规定的质量、规格和性能的要求。在货物最终验收合格后的质量保证期内，中标单位应对由于设计、工艺或材料的缺陷而发生的任何不足或故障负责。</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采购人按检验标准检验，或者在质保期内，如果货物的数量、质量或规格不符，或证实货物是有缺陷的（包括潜在的缺陷）等，采购人应尽快以书面形式通知中标单位，提出本保证下的索赔。中标单位在收到通知后在规定的时间内应免费维修或更换有缺陷的货物或部件。</w:t>
      </w:r>
    </w:p>
    <w:p>
      <w:pPr>
        <w:spacing w:line="460" w:lineRule="exact"/>
        <w:ind w:firstLine="480" w:firstLineChars="200"/>
        <w:rPr>
          <w:rFonts w:ascii="宋体" w:hAnsi="宋体" w:cs="宋体"/>
          <w:sz w:val="24"/>
          <w:szCs w:val="24"/>
        </w:rPr>
      </w:pPr>
      <w:r>
        <w:rPr>
          <w:rFonts w:hint="eastAsia" w:ascii="宋体" w:hAnsi="宋体" w:cs="宋体"/>
          <w:sz w:val="24"/>
          <w:szCs w:val="24"/>
        </w:rPr>
        <w:t>如果中标单位在收到通知后按招标文件规定的时间内没有弥补缺陷，采购人可采取必要的补救措施，但其风险和费用将由中标单位承担，采购人根据规定对中标单位行使的其它权利不受影响。</w:t>
      </w:r>
    </w:p>
    <w:p>
      <w:pPr>
        <w:spacing w:line="460" w:lineRule="exact"/>
        <w:ind w:firstLine="480" w:firstLineChars="200"/>
        <w:rPr>
          <w:rFonts w:ascii="宋体" w:hAnsi="宋体" w:cs="宋体"/>
          <w:sz w:val="24"/>
          <w:szCs w:val="24"/>
        </w:rPr>
      </w:pPr>
      <w:r>
        <w:rPr>
          <w:rFonts w:hint="eastAsia" w:ascii="宋体" w:hAnsi="宋体" w:cs="宋体"/>
          <w:sz w:val="24"/>
          <w:szCs w:val="24"/>
        </w:rPr>
        <w:t>货物在使用过程中，投标人应对由于设计、工艺或材料的缺陷以及安装、调式的失误而产生的意外、故障或质量问题承担相应责任。</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设备都应提供有效的医疗器械注册证和产品登记表，产品符合《医疗器械监督管理条例》的相关规定。投标产品参数响应情况须在产品注册证、注册登记表、检测报告以及白皮书中体现。提供英文白皮书的必须提供中文翻译版本的，否则评标委员会有权作无效投标处理。</w:t>
      </w:r>
    </w:p>
    <w:p>
      <w:pPr>
        <w:numPr>
          <w:ilvl w:val="0"/>
          <w:numId w:val="10"/>
        </w:numPr>
        <w:spacing w:line="460" w:lineRule="exact"/>
        <w:ind w:firstLine="480" w:firstLineChars="200"/>
        <w:rPr>
          <w:rFonts w:ascii="宋体" w:hAnsi="宋体" w:cs="宋体"/>
          <w:sz w:val="24"/>
          <w:szCs w:val="24"/>
        </w:rPr>
      </w:pPr>
      <w:r>
        <w:rPr>
          <w:rFonts w:hint="eastAsia" w:ascii="宋体" w:hAnsi="宋体" w:cs="宋体"/>
          <w:sz w:val="24"/>
          <w:szCs w:val="24"/>
        </w:rPr>
        <w:t>投标产品若为进口产品，在供货时应一并提供海关进口报关单及原产地证明资料，不能提供的视为虚假应标，废除中标资格，投标保证金不予退还，造成使用单位损失的予以赔偿。</w:t>
      </w:r>
    </w:p>
    <w:p>
      <w:pPr>
        <w:pStyle w:val="66"/>
        <w:ind w:firstLine="482"/>
        <w:rPr>
          <w:rFonts w:ascii="宋体" w:hAnsi="宋体"/>
          <w:b/>
          <w:bCs/>
          <w:sz w:val="24"/>
        </w:rPr>
      </w:pPr>
    </w:p>
    <w:p>
      <w:pPr>
        <w:pStyle w:val="6"/>
        <w:spacing w:before="0" w:after="0" w:line="240" w:lineRule="auto"/>
        <w:jc w:val="center"/>
        <w:rPr>
          <w:sz w:val="32"/>
          <w:szCs w:val="32"/>
        </w:rPr>
      </w:pPr>
      <w:bookmarkStart w:id="44" w:name="_Toc511397074"/>
      <w:r>
        <w:rPr>
          <w:rFonts w:hint="eastAsia"/>
          <w:sz w:val="32"/>
          <w:szCs w:val="32"/>
        </w:rPr>
        <w:br w:type="page"/>
      </w:r>
      <w:r>
        <w:rPr>
          <w:rFonts w:hint="eastAsia"/>
          <w:sz w:val="32"/>
          <w:szCs w:val="32"/>
        </w:rPr>
        <w:t>第四章   授予合同及参考范本</w:t>
      </w:r>
      <w:bookmarkEnd w:id="44"/>
    </w:p>
    <w:p>
      <w:pPr>
        <w:spacing w:line="480" w:lineRule="exact"/>
        <w:ind w:firstLine="240" w:firstLineChars="100"/>
        <w:rPr>
          <w:rFonts w:ascii="宋体" w:hAnsi="宋体" w:cs="宋体"/>
          <w:sz w:val="24"/>
          <w:szCs w:val="24"/>
        </w:rPr>
      </w:pPr>
      <w:r>
        <w:rPr>
          <w:rFonts w:hint="eastAsia" w:ascii="宋体" w:hAnsi="宋体" w:cs="宋体"/>
          <w:sz w:val="24"/>
          <w:szCs w:val="24"/>
        </w:rPr>
        <w:t>一、授予合同前调整货物数量的权力</w:t>
      </w:r>
    </w:p>
    <w:p>
      <w:pPr>
        <w:spacing w:line="480" w:lineRule="exact"/>
        <w:ind w:firstLine="480" w:firstLineChars="200"/>
        <w:rPr>
          <w:rFonts w:ascii="宋体" w:hAnsi="宋体" w:cs="宋体"/>
          <w:sz w:val="24"/>
          <w:szCs w:val="24"/>
        </w:rPr>
      </w:pPr>
      <w:r>
        <w:rPr>
          <w:rFonts w:hint="eastAsia" w:ascii="宋体" w:hAnsi="宋体" w:cs="宋体"/>
          <w:sz w:val="24"/>
          <w:szCs w:val="24"/>
        </w:rPr>
        <w:t>招标人在授予合同前，有权在法定范围内对货物进行适当调整并按供货数量据实结算。</w:t>
      </w:r>
    </w:p>
    <w:p>
      <w:pPr>
        <w:spacing w:line="480" w:lineRule="exact"/>
        <w:ind w:firstLine="240" w:firstLineChars="100"/>
        <w:rPr>
          <w:rFonts w:ascii="宋体" w:hAnsi="宋体" w:cs="宋体"/>
          <w:sz w:val="24"/>
          <w:szCs w:val="24"/>
        </w:rPr>
      </w:pPr>
      <w:r>
        <w:rPr>
          <w:rFonts w:hint="eastAsia" w:ascii="宋体" w:hAnsi="宋体" w:cs="宋体"/>
          <w:sz w:val="24"/>
          <w:szCs w:val="24"/>
        </w:rPr>
        <w:t>二、签订合同</w:t>
      </w:r>
    </w:p>
    <w:p>
      <w:pPr>
        <w:spacing w:line="480" w:lineRule="exact"/>
        <w:ind w:firstLine="480" w:firstLineChars="200"/>
        <w:rPr>
          <w:rFonts w:ascii="宋体" w:hAnsi="宋体" w:cs="宋体"/>
          <w:sz w:val="24"/>
          <w:szCs w:val="24"/>
        </w:rPr>
      </w:pPr>
      <w:r>
        <w:rPr>
          <w:rFonts w:hint="eastAsia" w:ascii="宋体" w:hAnsi="宋体" w:cs="宋体"/>
          <w:sz w:val="24"/>
          <w:szCs w:val="24"/>
        </w:rPr>
        <w:t>1) 中标人在收到《中标通知书》后，由招标单位与中标投标人签订合同，如有特别约定的，从其约定。</w:t>
      </w:r>
    </w:p>
    <w:p>
      <w:pPr>
        <w:spacing w:line="480" w:lineRule="exact"/>
        <w:ind w:firstLine="480" w:firstLineChars="200"/>
        <w:rPr>
          <w:rFonts w:ascii="宋体" w:hAnsi="宋体" w:cs="宋体"/>
          <w:sz w:val="24"/>
          <w:szCs w:val="24"/>
        </w:rPr>
      </w:pPr>
      <w:r>
        <w:rPr>
          <w:rFonts w:hint="eastAsia" w:ascii="宋体" w:hAnsi="宋体" w:cs="宋体"/>
          <w:sz w:val="24"/>
          <w:szCs w:val="24"/>
        </w:rPr>
        <w:t>2）由于中标人的原因逾期未与招标人签订采购合同的，将视为放弃中标，取消其中标资格并将按相关规定进行处理。</w:t>
      </w:r>
    </w:p>
    <w:p>
      <w:pPr>
        <w:spacing w:line="480" w:lineRule="exact"/>
        <w:ind w:firstLine="480" w:firstLineChars="200"/>
        <w:rPr>
          <w:rFonts w:ascii="宋体" w:hAnsi="宋体" w:cs="宋体"/>
          <w:sz w:val="24"/>
          <w:szCs w:val="24"/>
        </w:rPr>
      </w:pPr>
      <w:r>
        <w:rPr>
          <w:rFonts w:hint="eastAsia" w:ascii="宋体" w:hAnsi="宋体" w:cs="宋体"/>
          <w:sz w:val="24"/>
          <w:szCs w:val="24"/>
        </w:rPr>
        <w:t>3) 合同签订的内容不能超出招标文件和投标文件的实质性内容。</w:t>
      </w:r>
    </w:p>
    <w:p>
      <w:pPr>
        <w:spacing w:line="480" w:lineRule="exact"/>
        <w:ind w:firstLine="480" w:firstLineChars="200"/>
        <w:rPr>
          <w:rFonts w:ascii="宋体" w:hAnsi="宋体" w:cs="宋体"/>
          <w:sz w:val="24"/>
          <w:szCs w:val="24"/>
        </w:rPr>
      </w:pPr>
      <w:r>
        <w:rPr>
          <w:rFonts w:hint="eastAsia" w:ascii="宋体" w:hAnsi="宋体" w:cs="宋体"/>
          <w:sz w:val="24"/>
          <w:szCs w:val="24"/>
        </w:rPr>
        <w:t>4) 招标文件、投标文件、中标通知书及中标人在评审过程中就有关问题做出的书面说明或承诺等是合同的组成部分。</w:t>
      </w:r>
    </w:p>
    <w:p>
      <w:pPr>
        <w:spacing w:line="480" w:lineRule="exact"/>
        <w:ind w:firstLine="480" w:firstLineChars="200"/>
        <w:rPr>
          <w:rFonts w:ascii="宋体" w:hAnsi="宋体" w:cs="宋体"/>
          <w:sz w:val="24"/>
          <w:szCs w:val="24"/>
        </w:rPr>
      </w:pPr>
      <w:r>
        <w:rPr>
          <w:rFonts w:hint="eastAsia" w:ascii="宋体" w:hAnsi="宋体" w:cs="宋体"/>
          <w:sz w:val="24"/>
          <w:szCs w:val="24"/>
        </w:rPr>
        <w:t>5）中标人因不可抗力原因不能履行采购合同或放弃中标的，招标人可以与排在中标人之后第一位的中标候选人签订采购合同，以此类推。</w:t>
      </w:r>
    </w:p>
    <w:p>
      <w:pPr>
        <w:spacing w:line="480" w:lineRule="exact"/>
        <w:ind w:firstLine="480" w:firstLineChars="200"/>
        <w:rPr>
          <w:rFonts w:ascii="宋体" w:hAnsi="宋体" w:cs="宋体"/>
          <w:sz w:val="24"/>
          <w:szCs w:val="24"/>
        </w:rPr>
      </w:pPr>
      <w:r>
        <w:rPr>
          <w:rFonts w:hint="eastAsia" w:ascii="宋体" w:hAnsi="宋体" w:cs="宋体"/>
          <w:sz w:val="24"/>
          <w:szCs w:val="24"/>
        </w:rPr>
        <w:t>6) 违约责任、风险承担等其他事项在签订合同时双方具体约定。</w:t>
      </w:r>
    </w:p>
    <w:p>
      <w:pPr>
        <w:spacing w:line="480" w:lineRule="exact"/>
        <w:ind w:firstLine="480" w:firstLineChars="200"/>
        <w:rPr>
          <w:rFonts w:ascii="宋体" w:hAnsi="宋体" w:cs="宋体"/>
          <w:sz w:val="24"/>
          <w:szCs w:val="24"/>
        </w:rPr>
      </w:pPr>
      <w:r>
        <w:rPr>
          <w:rFonts w:hint="eastAsia" w:ascii="宋体" w:hAnsi="宋体" w:cs="宋体"/>
          <w:sz w:val="24"/>
          <w:szCs w:val="24"/>
        </w:rPr>
        <w:t>7)中标人在收到《中标通知书》后，须提供中标产品生产厂家针对本项目的授权书原件、售后服务承诺书原件及原厂供货证明原件签订合同。</w:t>
      </w:r>
    </w:p>
    <w:p>
      <w:pPr>
        <w:spacing w:line="480" w:lineRule="exact"/>
        <w:ind w:firstLine="480" w:firstLineChars="200"/>
        <w:rPr>
          <w:rFonts w:ascii="宋体" w:hAnsi="宋体" w:cs="宋体"/>
          <w:sz w:val="24"/>
          <w:szCs w:val="24"/>
        </w:rPr>
      </w:pPr>
      <w:r>
        <w:rPr>
          <w:rFonts w:hint="eastAsia" w:ascii="宋体" w:hAnsi="宋体" w:cs="宋体"/>
          <w:sz w:val="24"/>
          <w:szCs w:val="24"/>
        </w:rPr>
        <w:t>8）中标人在合同签订之后二个工作日内，将签订的合同送同级财政主管部门备案并公示。</w:t>
      </w:r>
    </w:p>
    <w:p>
      <w:pPr>
        <w:spacing w:line="440" w:lineRule="exact"/>
        <w:ind w:firstLine="921" w:firstLineChars="384"/>
        <w:rPr>
          <w:rFonts w:ascii="宋体" w:hAnsi="宋体" w:cs="仿宋"/>
          <w:sz w:val="24"/>
          <w:szCs w:val="24"/>
        </w:rPr>
      </w:pPr>
    </w:p>
    <w:p>
      <w:pPr>
        <w:spacing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ind w:firstLine="826" w:firstLineChars="343"/>
        <w:rPr>
          <w:rFonts w:ascii="宋体" w:hAnsi="宋体" w:cs="仿宋"/>
          <w:b/>
          <w:sz w:val="24"/>
          <w:szCs w:val="24"/>
        </w:rPr>
      </w:pPr>
    </w:p>
    <w:p>
      <w:pPr>
        <w:spacing w:beforeLines="100" w:line="440" w:lineRule="exact"/>
        <w:ind w:firstLine="826" w:firstLineChars="343"/>
        <w:rPr>
          <w:rFonts w:ascii="宋体" w:hAnsi="宋体" w:cs="仿宋"/>
          <w:b/>
          <w:sz w:val="24"/>
          <w:szCs w:val="24"/>
        </w:rPr>
      </w:pPr>
    </w:p>
    <w:p>
      <w:pPr>
        <w:spacing w:beforeLines="100" w:line="600" w:lineRule="exact"/>
        <w:jc w:val="center"/>
        <w:rPr>
          <w:rFonts w:ascii="宋体" w:hAnsi="宋体"/>
          <w:b/>
          <w:sz w:val="72"/>
          <w:szCs w:val="72"/>
        </w:rPr>
      </w:pPr>
    </w:p>
    <w:p>
      <w:pPr>
        <w:spacing w:beforeLines="100" w:line="600" w:lineRule="exact"/>
        <w:jc w:val="center"/>
        <w:rPr>
          <w:rFonts w:ascii="宋体" w:hAnsi="宋体"/>
          <w:b/>
          <w:sz w:val="72"/>
          <w:szCs w:val="72"/>
          <w:u w:val="single"/>
        </w:rPr>
      </w:pPr>
      <w:r>
        <w:rPr>
          <w:rFonts w:hint="eastAsia" w:ascii="宋体" w:hAnsi="宋体"/>
          <w:b/>
          <w:sz w:val="72"/>
          <w:szCs w:val="72"/>
        </w:rPr>
        <w:t>政 府 采 购 合 同</w:t>
      </w:r>
    </w:p>
    <w:p>
      <w:pPr>
        <w:spacing w:line="440" w:lineRule="exact"/>
        <w:jc w:val="center"/>
        <w:rPr>
          <w:rFonts w:ascii="宋体" w:hAnsi="宋体"/>
          <w:b/>
          <w:sz w:val="48"/>
          <w:szCs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4"/>
        </w:rPr>
      </w:pPr>
    </w:p>
    <w:p>
      <w:pPr>
        <w:pStyle w:val="3"/>
        <w:spacing w:line="440" w:lineRule="exact"/>
        <w:ind w:firstLine="2108" w:firstLineChars="700"/>
        <w:rPr>
          <w:rFonts w:ascii="宋体" w:hAnsi="宋体"/>
          <w:b/>
          <w:sz w:val="30"/>
          <w:szCs w:val="30"/>
          <w:u w:val="single"/>
        </w:rPr>
      </w:pPr>
      <w:r>
        <w:rPr>
          <w:rFonts w:hint="eastAsia" w:ascii="宋体" w:hAnsi="宋体"/>
          <w:b/>
          <w:sz w:val="30"/>
          <w:szCs w:val="30"/>
        </w:rPr>
        <w:t>项目名称:</w:t>
      </w:r>
    </w:p>
    <w:p>
      <w:pPr>
        <w:pStyle w:val="3"/>
        <w:spacing w:line="440" w:lineRule="exact"/>
        <w:ind w:firstLine="151" w:firstLineChars="50"/>
        <w:rPr>
          <w:rFonts w:ascii="宋体" w:hAnsi="宋体"/>
          <w:b/>
          <w:sz w:val="30"/>
          <w:szCs w:val="30"/>
        </w:rPr>
      </w:pPr>
    </w:p>
    <w:p>
      <w:pPr>
        <w:spacing w:beforeLines="100" w:line="440" w:lineRule="exact"/>
        <w:ind w:firstLine="2153" w:firstLineChars="715"/>
        <w:rPr>
          <w:rFonts w:ascii="宋体" w:hAnsi="宋体"/>
          <w:b/>
          <w:sz w:val="30"/>
          <w:szCs w:val="30"/>
          <w:u w:val="single"/>
        </w:rPr>
      </w:pPr>
      <w:r>
        <w:rPr>
          <w:rFonts w:hint="eastAsia" w:ascii="宋体" w:hAnsi="宋体"/>
          <w:b/>
          <w:sz w:val="30"/>
          <w:szCs w:val="30"/>
        </w:rPr>
        <w:t>项目编号:</w:t>
      </w:r>
    </w:p>
    <w:p>
      <w:pPr>
        <w:spacing w:line="440" w:lineRule="exact"/>
        <w:jc w:val="center"/>
        <w:rPr>
          <w:rFonts w:ascii="宋体" w:hAnsi="宋体"/>
          <w:b/>
          <w:sz w:val="30"/>
          <w:szCs w:val="30"/>
        </w:rPr>
      </w:pPr>
    </w:p>
    <w:p>
      <w:pPr>
        <w:spacing w:line="440" w:lineRule="exact"/>
        <w:jc w:val="center"/>
        <w:rPr>
          <w:rFonts w:ascii="宋体" w:hAnsi="宋体"/>
          <w:b/>
          <w:sz w:val="30"/>
          <w:szCs w:val="30"/>
        </w:rPr>
      </w:pPr>
    </w:p>
    <w:p>
      <w:pPr>
        <w:spacing w:line="440" w:lineRule="exact"/>
        <w:jc w:val="center"/>
        <w:rPr>
          <w:rFonts w:ascii="宋体" w:hAnsi="宋体"/>
          <w:b/>
          <w:sz w:val="30"/>
          <w:szCs w:val="30"/>
        </w:rPr>
      </w:pPr>
    </w:p>
    <w:p>
      <w:pPr>
        <w:spacing w:line="440" w:lineRule="exact"/>
        <w:jc w:val="center"/>
        <w:rPr>
          <w:rFonts w:ascii="宋体" w:hAnsi="宋体"/>
          <w:b/>
          <w:sz w:val="30"/>
          <w:szCs w:val="30"/>
        </w:rPr>
      </w:pPr>
    </w:p>
    <w:p>
      <w:pPr>
        <w:spacing w:line="440" w:lineRule="exact"/>
        <w:ind w:firstLine="2108" w:firstLineChars="700"/>
        <w:rPr>
          <w:rFonts w:ascii="宋体" w:hAnsi="宋体"/>
          <w:b/>
          <w:sz w:val="30"/>
          <w:szCs w:val="30"/>
        </w:rPr>
      </w:pPr>
    </w:p>
    <w:p>
      <w:pPr>
        <w:spacing w:line="440" w:lineRule="exact"/>
        <w:ind w:firstLine="2108" w:firstLineChars="700"/>
        <w:rPr>
          <w:rFonts w:ascii="宋体" w:hAnsi="宋体"/>
          <w:b/>
          <w:sz w:val="30"/>
          <w:szCs w:val="30"/>
        </w:rPr>
      </w:pPr>
      <w:r>
        <w:rPr>
          <w:rFonts w:hint="eastAsia" w:ascii="宋体" w:hAnsi="宋体"/>
          <w:b/>
          <w:sz w:val="30"/>
          <w:szCs w:val="30"/>
        </w:rPr>
        <w:t>甲    方:</w:t>
      </w:r>
    </w:p>
    <w:p>
      <w:pPr>
        <w:spacing w:beforeLines="100" w:line="440" w:lineRule="exact"/>
        <w:ind w:firstLine="2108" w:firstLineChars="700"/>
        <w:rPr>
          <w:rFonts w:ascii="宋体" w:hAnsi="宋体"/>
          <w:b/>
          <w:sz w:val="30"/>
          <w:szCs w:val="30"/>
          <w:u w:val="single"/>
        </w:rPr>
      </w:pPr>
      <w:r>
        <w:rPr>
          <w:rFonts w:hint="eastAsia" w:ascii="宋体" w:hAnsi="宋体"/>
          <w:b/>
          <w:sz w:val="30"/>
          <w:szCs w:val="30"/>
        </w:rPr>
        <w:t>乙    方:</w:t>
      </w:r>
    </w:p>
    <w:p>
      <w:pPr>
        <w:tabs>
          <w:tab w:val="left" w:pos="7449"/>
        </w:tabs>
        <w:spacing w:beforeLines="100" w:line="440" w:lineRule="exact"/>
        <w:ind w:firstLine="1807" w:firstLineChars="500"/>
        <w:rPr>
          <w:rFonts w:ascii="宋体" w:hAnsi="宋体"/>
          <w:b/>
          <w:sz w:val="36"/>
        </w:rPr>
      </w:pPr>
    </w:p>
    <w:p>
      <w:pPr>
        <w:spacing w:line="440" w:lineRule="exact"/>
        <w:ind w:firstLine="480" w:firstLineChars="200"/>
        <w:jc w:val="left"/>
        <w:rPr>
          <w:rFonts w:ascii="宋体" w:hAnsi="宋体"/>
          <w:sz w:val="24"/>
          <w:u w:val="single"/>
        </w:rPr>
        <w:sectPr>
          <w:footerReference r:id="rId3" w:type="default"/>
          <w:pgSz w:w="11906" w:h="16838"/>
          <w:pgMar w:top="1440" w:right="1800" w:bottom="1440" w:left="1800" w:header="851" w:footer="992" w:gutter="0"/>
          <w:pgNumType w:start="1"/>
          <w:cols w:space="720" w:num="1"/>
          <w:docGrid w:linePitch="312" w:charSpace="0"/>
        </w:sectPr>
      </w:pPr>
    </w:p>
    <w:p>
      <w:pPr>
        <w:spacing w:line="440" w:lineRule="exact"/>
        <w:ind w:firstLine="480" w:firstLineChars="200"/>
        <w:jc w:val="left"/>
        <w:rPr>
          <w:rFonts w:ascii="宋体" w:hAnsi="宋体"/>
          <w:sz w:val="24"/>
          <w:u w:val="single"/>
        </w:rPr>
      </w:pPr>
    </w:p>
    <w:p>
      <w:pPr>
        <w:spacing w:line="440" w:lineRule="exact"/>
        <w:ind w:firstLine="480" w:firstLineChars="200"/>
        <w:jc w:val="left"/>
        <w:rPr>
          <w:rFonts w:ascii="宋体" w:hAnsi="宋体"/>
          <w:sz w:val="24"/>
        </w:rPr>
      </w:pPr>
      <w:r>
        <w:rPr>
          <w:rFonts w:hint="eastAsia" w:ascii="宋体" w:hAnsi="宋体"/>
          <w:sz w:val="24"/>
        </w:rPr>
        <w:t>（甲方）所需（项目名称）以竞争性磋商方式进行招标。经评标委员会确定（乙方）为中标供应商。甲、乙双方根据《中华人民共和国合同法》、《中华人民共和国政府采购法》和其他法律、法规的规定，并按照公正、平等、自愿、诚实信用的原则，同意按照以下条款和条件，签署本合同。</w:t>
      </w:r>
    </w:p>
    <w:p>
      <w:pPr>
        <w:spacing w:line="440" w:lineRule="exact"/>
        <w:ind w:firstLine="383" w:firstLineChars="159"/>
        <w:rPr>
          <w:rFonts w:ascii="宋体" w:hAnsi="宋体"/>
          <w:b/>
          <w:bCs/>
          <w:sz w:val="24"/>
        </w:rPr>
      </w:pPr>
      <w:r>
        <w:rPr>
          <w:rFonts w:hint="eastAsia" w:ascii="宋体" w:hAnsi="宋体"/>
          <w:b/>
          <w:bCs/>
          <w:sz w:val="24"/>
        </w:rPr>
        <w:t>一、本合同由合同文本和下列文件组成</w:t>
      </w:r>
    </w:p>
    <w:p>
      <w:pPr>
        <w:spacing w:line="440" w:lineRule="exact"/>
        <w:ind w:firstLine="480"/>
        <w:rPr>
          <w:rFonts w:ascii="宋体" w:hAnsi="宋体"/>
          <w:sz w:val="24"/>
        </w:rPr>
      </w:pPr>
      <w:r>
        <w:rPr>
          <w:rFonts w:hint="eastAsia" w:ascii="宋体" w:hAnsi="宋体"/>
          <w:sz w:val="24"/>
        </w:rPr>
        <w:t>1、招标文件</w:t>
      </w:r>
    </w:p>
    <w:p>
      <w:pPr>
        <w:spacing w:line="440" w:lineRule="exact"/>
        <w:ind w:firstLine="480"/>
        <w:rPr>
          <w:rFonts w:ascii="宋体" w:hAnsi="宋体"/>
          <w:sz w:val="24"/>
        </w:rPr>
      </w:pPr>
      <w:r>
        <w:rPr>
          <w:rFonts w:hint="eastAsia" w:ascii="宋体" w:hAnsi="宋体"/>
          <w:sz w:val="24"/>
        </w:rPr>
        <w:t>2、投标文件</w:t>
      </w:r>
    </w:p>
    <w:p>
      <w:pPr>
        <w:spacing w:line="440" w:lineRule="exact"/>
        <w:ind w:firstLine="480"/>
        <w:rPr>
          <w:rFonts w:ascii="宋体" w:hAnsi="宋体"/>
          <w:sz w:val="24"/>
        </w:rPr>
      </w:pPr>
      <w:r>
        <w:rPr>
          <w:rFonts w:hint="eastAsia" w:ascii="宋体" w:hAnsi="宋体"/>
          <w:sz w:val="24"/>
        </w:rPr>
        <w:t>3、中标通知书</w:t>
      </w:r>
    </w:p>
    <w:p>
      <w:pPr>
        <w:spacing w:line="440" w:lineRule="exact"/>
        <w:ind w:firstLine="480"/>
        <w:rPr>
          <w:rFonts w:ascii="宋体" w:hAnsi="宋体"/>
          <w:sz w:val="24"/>
        </w:rPr>
      </w:pPr>
      <w:r>
        <w:rPr>
          <w:rFonts w:hint="eastAsia" w:ascii="宋体" w:hAnsi="宋体"/>
          <w:sz w:val="24"/>
        </w:rPr>
        <w:t>4、中标人做出的书面澄清或承诺</w:t>
      </w:r>
    </w:p>
    <w:p>
      <w:pPr>
        <w:spacing w:line="440" w:lineRule="exact"/>
        <w:ind w:firstLine="480"/>
        <w:rPr>
          <w:rFonts w:ascii="宋体" w:hAnsi="宋体"/>
          <w:sz w:val="24"/>
        </w:rPr>
      </w:pPr>
      <w:r>
        <w:rPr>
          <w:rFonts w:hint="eastAsia" w:ascii="宋体" w:hAnsi="宋体"/>
          <w:sz w:val="24"/>
        </w:rPr>
        <w:t>5、本合同附件</w:t>
      </w:r>
    </w:p>
    <w:p>
      <w:pPr>
        <w:spacing w:line="440" w:lineRule="exact"/>
        <w:ind w:firstLine="382"/>
        <w:rPr>
          <w:rFonts w:ascii="宋体" w:hAnsi="宋体"/>
          <w:b/>
          <w:bCs/>
          <w:sz w:val="24"/>
        </w:rPr>
      </w:pPr>
      <w:r>
        <w:rPr>
          <w:rFonts w:hint="eastAsia" w:ascii="宋体" w:hAnsi="宋体"/>
          <w:b/>
          <w:bCs/>
          <w:sz w:val="24"/>
        </w:rPr>
        <w:t>二、货物名称、数量、单价、规格和标准</w:t>
      </w:r>
    </w:p>
    <w:p>
      <w:pPr>
        <w:spacing w:line="440" w:lineRule="exact"/>
        <w:ind w:left="764"/>
        <w:rPr>
          <w:rFonts w:ascii="宋体" w:hAnsi="宋体"/>
          <w:u w:val="single"/>
        </w:rPr>
      </w:pPr>
      <w:r>
        <w:rPr>
          <w:rFonts w:hint="eastAsia" w:ascii="宋体" w:hAnsi="宋体"/>
          <w:b/>
          <w:bCs/>
          <w:sz w:val="24"/>
          <w:u w:val="single"/>
        </w:rPr>
        <w:t>（详细清单见附件）</w:t>
      </w:r>
    </w:p>
    <w:p>
      <w:pPr>
        <w:spacing w:line="440" w:lineRule="exact"/>
        <w:ind w:left="764"/>
        <w:rPr>
          <w:rFonts w:ascii="宋体" w:hAnsi="宋体"/>
          <w:u w:val="single"/>
        </w:rPr>
      </w:pPr>
    </w:p>
    <w:p>
      <w:pPr>
        <w:spacing w:line="440" w:lineRule="exact"/>
        <w:ind w:firstLine="382"/>
        <w:rPr>
          <w:rFonts w:ascii="宋体" w:hAnsi="宋体"/>
          <w:sz w:val="24"/>
        </w:rPr>
      </w:pPr>
      <w:r>
        <w:rPr>
          <w:rFonts w:hint="eastAsia" w:ascii="宋体" w:hAnsi="宋体"/>
          <w:b/>
          <w:bCs/>
          <w:sz w:val="24"/>
        </w:rPr>
        <w:t>三、合同金额</w:t>
      </w:r>
    </w:p>
    <w:p>
      <w:pPr>
        <w:spacing w:line="440" w:lineRule="exact"/>
        <w:ind w:firstLine="764"/>
        <w:rPr>
          <w:rFonts w:ascii="宋体" w:hAnsi="宋体"/>
          <w:sz w:val="24"/>
        </w:rPr>
      </w:pPr>
      <w:r>
        <w:rPr>
          <w:rFonts w:hint="eastAsia" w:ascii="宋体" w:hAnsi="宋体"/>
          <w:sz w:val="24"/>
        </w:rPr>
        <w:t>合同总金额：</w:t>
      </w:r>
      <w:r>
        <w:rPr>
          <w:rFonts w:hint="eastAsia" w:ascii="宋体" w:hAnsi="宋体"/>
          <w:sz w:val="24"/>
          <w:u w:val="single"/>
        </w:rPr>
        <w:t xml:space="preserve">人民币                               </w:t>
      </w:r>
      <w:r>
        <w:rPr>
          <w:rFonts w:hint="eastAsia" w:ascii="宋体" w:hAnsi="宋体"/>
          <w:sz w:val="24"/>
        </w:rPr>
        <w:t>元（大写）</w:t>
      </w:r>
    </w:p>
    <w:p>
      <w:pPr>
        <w:spacing w:line="440" w:lineRule="exact"/>
        <w:ind w:firstLine="764"/>
        <w:rPr>
          <w:rFonts w:ascii="宋体" w:hAnsi="宋体"/>
          <w:sz w:val="24"/>
        </w:rPr>
      </w:pPr>
      <w:r>
        <w:rPr>
          <w:rFonts w:hint="eastAsia" w:ascii="宋体" w:hAnsi="宋体"/>
          <w:sz w:val="24"/>
          <w:u w:val="single"/>
        </w:rPr>
        <w:t xml:space="preserve">人民币                               </w:t>
      </w:r>
      <w:r>
        <w:rPr>
          <w:rFonts w:hint="eastAsia" w:ascii="宋体" w:hAnsi="宋体"/>
          <w:sz w:val="24"/>
        </w:rPr>
        <w:t>元（小写）</w:t>
      </w:r>
    </w:p>
    <w:p>
      <w:pPr>
        <w:spacing w:line="440" w:lineRule="exact"/>
        <w:ind w:firstLine="382"/>
        <w:rPr>
          <w:rFonts w:ascii="宋体" w:hAnsi="宋体"/>
          <w:b/>
          <w:bCs/>
          <w:sz w:val="24"/>
        </w:rPr>
      </w:pPr>
      <w:r>
        <w:rPr>
          <w:rFonts w:hint="eastAsia" w:ascii="宋体" w:hAnsi="宋体"/>
          <w:b/>
          <w:bCs/>
          <w:sz w:val="24"/>
        </w:rPr>
        <w:t>四、货款支付</w:t>
      </w:r>
    </w:p>
    <w:p>
      <w:pPr>
        <w:numPr>
          <w:ilvl w:val="0"/>
          <w:numId w:val="11"/>
        </w:numPr>
        <w:spacing w:line="440" w:lineRule="exact"/>
        <w:rPr>
          <w:rFonts w:ascii="宋体" w:hAnsi="宋体"/>
          <w:sz w:val="24"/>
        </w:rPr>
      </w:pPr>
      <w:r>
        <w:rPr>
          <w:rFonts w:hint="eastAsia" w:ascii="宋体" w:hAnsi="宋体"/>
          <w:b/>
          <w:sz w:val="24"/>
        </w:rPr>
        <w:t>付款方式</w:t>
      </w:r>
      <w:r>
        <w:rPr>
          <w:rFonts w:hint="eastAsia" w:ascii="宋体" w:hAnsi="宋体"/>
          <w:sz w:val="24"/>
        </w:rPr>
        <w:t xml:space="preserve">： </w:t>
      </w:r>
    </w:p>
    <w:p>
      <w:pPr>
        <w:numPr>
          <w:ilvl w:val="0"/>
          <w:numId w:val="11"/>
        </w:numPr>
        <w:tabs>
          <w:tab w:val="left" w:pos="764"/>
        </w:tabs>
        <w:spacing w:line="440" w:lineRule="exact"/>
        <w:rPr>
          <w:rFonts w:ascii="宋体" w:hAnsi="宋体"/>
          <w:sz w:val="24"/>
        </w:rPr>
      </w:pPr>
      <w:r>
        <w:rPr>
          <w:rFonts w:hint="eastAsia" w:ascii="宋体" w:hAnsi="宋体"/>
          <w:sz w:val="24"/>
        </w:rPr>
        <w:t>支付途径分为三种：</w:t>
      </w:r>
    </w:p>
    <w:p>
      <w:pPr>
        <w:spacing w:line="440" w:lineRule="exact"/>
        <w:ind w:left="762" w:leftChars="363"/>
        <w:rPr>
          <w:rFonts w:ascii="宋体" w:hAnsi="宋体"/>
          <w:sz w:val="24"/>
        </w:rPr>
      </w:pPr>
      <w:r>
        <w:rPr>
          <w:rFonts w:hint="eastAsia" w:ascii="宋体" w:hAnsi="宋体"/>
          <w:sz w:val="24"/>
        </w:rPr>
        <w:t>（1）国库集中支付</w:t>
      </w:r>
    </w:p>
    <w:p>
      <w:pPr>
        <w:tabs>
          <w:tab w:val="left" w:pos="6303"/>
        </w:tabs>
        <w:spacing w:line="440" w:lineRule="exact"/>
        <w:ind w:left="1336" w:leftChars="636" w:firstLine="1"/>
        <w:rPr>
          <w:rFonts w:ascii="宋体" w:hAnsi="宋体"/>
          <w:sz w:val="24"/>
        </w:rPr>
      </w:pPr>
      <w:r>
        <w:rPr>
          <w:rFonts w:hint="eastAsia" w:ascii="宋体" w:hAnsi="宋体"/>
          <w:sz w:val="24"/>
        </w:rPr>
        <w:t>财政预算内资金：</w:t>
      </w:r>
      <w:r>
        <w:rPr>
          <w:rFonts w:hint="eastAsia" w:ascii="宋体" w:hAnsi="宋体"/>
          <w:sz w:val="24"/>
          <w:u w:val="single"/>
        </w:rPr>
        <w:t xml:space="preserve">人民币                             </w:t>
      </w:r>
      <w:r>
        <w:rPr>
          <w:rFonts w:hint="eastAsia" w:ascii="宋体" w:hAnsi="宋体"/>
          <w:sz w:val="24"/>
        </w:rPr>
        <w:t>元；</w:t>
      </w:r>
    </w:p>
    <w:p>
      <w:pPr>
        <w:tabs>
          <w:tab w:val="left" w:pos="573"/>
          <w:tab w:val="left" w:pos="6303"/>
          <w:tab w:val="left" w:pos="7067"/>
        </w:tabs>
        <w:spacing w:line="440" w:lineRule="exact"/>
        <w:ind w:left="1336" w:leftChars="636" w:firstLine="1"/>
        <w:rPr>
          <w:rFonts w:ascii="宋体" w:hAnsi="宋体"/>
          <w:sz w:val="24"/>
        </w:rPr>
      </w:pPr>
      <w:r>
        <w:rPr>
          <w:rFonts w:hint="eastAsia" w:ascii="宋体" w:hAnsi="宋体"/>
          <w:sz w:val="24"/>
        </w:rPr>
        <w:t>财政预算外资金：</w:t>
      </w:r>
      <w:r>
        <w:rPr>
          <w:rFonts w:hint="eastAsia" w:ascii="宋体" w:hAnsi="宋体"/>
          <w:sz w:val="24"/>
          <w:u w:val="single"/>
        </w:rPr>
        <w:t xml:space="preserve">人民币                             </w:t>
      </w:r>
      <w:r>
        <w:rPr>
          <w:rFonts w:hint="eastAsia" w:ascii="宋体" w:hAnsi="宋体"/>
          <w:sz w:val="24"/>
        </w:rPr>
        <w:t>元；</w:t>
      </w:r>
    </w:p>
    <w:p>
      <w:pPr>
        <w:spacing w:line="440" w:lineRule="exact"/>
        <w:ind w:left="762" w:leftChars="363"/>
        <w:rPr>
          <w:rFonts w:ascii="宋体" w:hAnsi="宋体"/>
          <w:sz w:val="24"/>
        </w:rPr>
      </w:pPr>
      <w:r>
        <w:rPr>
          <w:rFonts w:hint="eastAsia" w:ascii="宋体" w:hAnsi="宋体"/>
          <w:sz w:val="24"/>
        </w:rPr>
        <w:t>（2）甲方支付</w:t>
      </w:r>
    </w:p>
    <w:p>
      <w:pPr>
        <w:tabs>
          <w:tab w:val="left" w:pos="6303"/>
          <w:tab w:val="left" w:pos="7067"/>
        </w:tabs>
        <w:spacing w:line="440" w:lineRule="exact"/>
        <w:ind w:left="1336" w:leftChars="636"/>
        <w:rPr>
          <w:rFonts w:ascii="宋体" w:hAnsi="宋体"/>
          <w:sz w:val="24"/>
        </w:rPr>
      </w:pPr>
      <w:r>
        <w:rPr>
          <w:rFonts w:hint="eastAsia" w:ascii="宋体" w:hAnsi="宋体"/>
          <w:sz w:val="24"/>
        </w:rPr>
        <w:t>金额：</w:t>
      </w:r>
      <w:r>
        <w:rPr>
          <w:rFonts w:hint="eastAsia" w:ascii="宋体" w:hAnsi="宋体"/>
          <w:sz w:val="24"/>
          <w:u w:val="single"/>
        </w:rPr>
        <w:t xml:space="preserve">人民币                                       </w:t>
      </w:r>
      <w:r>
        <w:rPr>
          <w:rFonts w:hint="eastAsia" w:ascii="宋体" w:hAnsi="宋体"/>
          <w:sz w:val="24"/>
        </w:rPr>
        <w:t>元；</w:t>
      </w:r>
    </w:p>
    <w:p>
      <w:pPr>
        <w:spacing w:line="440" w:lineRule="exact"/>
        <w:ind w:left="762" w:leftChars="363"/>
        <w:rPr>
          <w:rFonts w:ascii="宋体" w:hAnsi="宋体"/>
          <w:sz w:val="24"/>
        </w:rPr>
      </w:pPr>
      <w:r>
        <w:rPr>
          <w:rFonts w:hint="eastAsia" w:ascii="宋体" w:hAnsi="宋体"/>
          <w:sz w:val="24"/>
        </w:rPr>
        <w:t>（3）国库与甲方共同支付。</w:t>
      </w:r>
    </w:p>
    <w:p>
      <w:pPr>
        <w:tabs>
          <w:tab w:val="left" w:pos="1337"/>
          <w:tab w:val="left" w:pos="7067"/>
        </w:tabs>
        <w:spacing w:line="440" w:lineRule="exact"/>
        <w:ind w:left="1337" w:leftChars="636" w:hanging="1"/>
        <w:rPr>
          <w:rFonts w:ascii="宋体" w:hAnsi="宋体"/>
          <w:sz w:val="24"/>
        </w:rPr>
      </w:pPr>
      <w:r>
        <w:rPr>
          <w:rFonts w:hint="eastAsia" w:ascii="宋体" w:hAnsi="宋体"/>
          <w:sz w:val="24"/>
        </w:rPr>
        <w:t>国库集中支付：</w:t>
      </w:r>
      <w:r>
        <w:rPr>
          <w:rFonts w:hint="eastAsia" w:ascii="宋体" w:hAnsi="宋体"/>
          <w:sz w:val="24"/>
          <w:u w:val="single"/>
        </w:rPr>
        <w:t xml:space="preserve">人民币                               </w:t>
      </w:r>
      <w:r>
        <w:rPr>
          <w:rFonts w:hint="eastAsia" w:ascii="宋体" w:hAnsi="宋体"/>
          <w:sz w:val="24"/>
        </w:rPr>
        <w:t xml:space="preserve">元。 </w:t>
      </w:r>
    </w:p>
    <w:p>
      <w:pPr>
        <w:tabs>
          <w:tab w:val="left" w:pos="1337"/>
          <w:tab w:val="left" w:pos="6303"/>
          <w:tab w:val="left" w:pos="7067"/>
        </w:tabs>
        <w:spacing w:line="440" w:lineRule="exact"/>
        <w:ind w:left="1337" w:leftChars="636" w:hanging="1"/>
        <w:rPr>
          <w:rFonts w:ascii="宋体" w:hAnsi="宋体"/>
          <w:sz w:val="24"/>
        </w:rPr>
      </w:pPr>
      <w:r>
        <w:rPr>
          <w:rFonts w:hint="eastAsia" w:ascii="宋体" w:hAnsi="宋体"/>
          <w:sz w:val="24"/>
        </w:rPr>
        <w:t>甲方支付：</w:t>
      </w:r>
      <w:r>
        <w:rPr>
          <w:rFonts w:hint="eastAsia" w:ascii="宋体" w:hAnsi="宋体"/>
          <w:sz w:val="24"/>
          <w:u w:val="single"/>
        </w:rPr>
        <w:t xml:space="preserve">人民币                                   </w:t>
      </w:r>
      <w:r>
        <w:rPr>
          <w:rFonts w:hint="eastAsia" w:ascii="宋体" w:hAnsi="宋体"/>
          <w:sz w:val="24"/>
        </w:rPr>
        <w:t>元。</w:t>
      </w:r>
    </w:p>
    <w:p>
      <w:pPr>
        <w:spacing w:line="440" w:lineRule="exact"/>
        <w:ind w:left="617"/>
        <w:rPr>
          <w:rFonts w:ascii="宋体" w:hAnsi="宋体"/>
          <w:sz w:val="24"/>
        </w:rPr>
      </w:pPr>
      <w:r>
        <w:rPr>
          <w:rFonts w:hint="eastAsia" w:ascii="宋体" w:hAnsi="宋体"/>
          <w:sz w:val="24"/>
        </w:rPr>
        <w:t>本合同的支付途径采用其中第种</w:t>
      </w:r>
    </w:p>
    <w:p>
      <w:pPr>
        <w:spacing w:line="440" w:lineRule="exact"/>
        <w:ind w:left="380" w:leftChars="181" w:firstLine="7"/>
        <w:rPr>
          <w:rFonts w:ascii="宋体" w:hAnsi="宋体"/>
          <w:b/>
          <w:bCs/>
          <w:sz w:val="24"/>
        </w:rPr>
      </w:pPr>
      <w:r>
        <w:rPr>
          <w:rFonts w:hint="eastAsia" w:ascii="宋体" w:hAnsi="宋体"/>
          <w:b/>
          <w:bCs/>
          <w:sz w:val="24"/>
        </w:rPr>
        <w:t>五、交货</w:t>
      </w:r>
    </w:p>
    <w:p>
      <w:pPr>
        <w:tabs>
          <w:tab w:val="left" w:pos="2900"/>
        </w:tabs>
        <w:spacing w:line="440" w:lineRule="exact"/>
        <w:ind w:left="571" w:leftChars="272" w:firstLine="2"/>
        <w:rPr>
          <w:rFonts w:ascii="宋体" w:hAnsi="宋体"/>
          <w:sz w:val="24"/>
        </w:rPr>
      </w:pPr>
      <w:r>
        <w:rPr>
          <w:rFonts w:hint="eastAsia" w:ascii="宋体" w:hAnsi="宋体"/>
          <w:sz w:val="24"/>
        </w:rPr>
        <w:t>1、交货时间：</w:t>
      </w:r>
      <w:r>
        <w:rPr>
          <w:rFonts w:hint="eastAsia" w:ascii="宋体" w:hAnsi="宋体"/>
          <w:sz w:val="24"/>
        </w:rPr>
        <w:tab/>
      </w:r>
    </w:p>
    <w:p>
      <w:pPr>
        <w:spacing w:line="440" w:lineRule="exact"/>
        <w:ind w:left="953" w:leftChars="454" w:firstLine="2"/>
        <w:rPr>
          <w:rFonts w:ascii="宋体" w:hAnsi="宋体"/>
          <w:sz w:val="24"/>
        </w:rPr>
      </w:pPr>
      <w:r>
        <w:rPr>
          <w:rFonts w:hint="eastAsia" w:ascii="宋体" w:hAnsi="宋体"/>
          <w:sz w:val="24"/>
        </w:rPr>
        <w:t>合同生效后于年月日以前交货。</w:t>
      </w:r>
    </w:p>
    <w:p>
      <w:pPr>
        <w:numPr>
          <w:ilvl w:val="0"/>
          <w:numId w:val="4"/>
        </w:numPr>
        <w:tabs>
          <w:tab w:val="left" w:pos="840"/>
          <w:tab w:val="left" w:pos="955"/>
          <w:tab w:val="clear" w:pos="420"/>
        </w:tabs>
        <w:spacing w:line="440" w:lineRule="exact"/>
        <w:ind w:left="840" w:hanging="267"/>
        <w:rPr>
          <w:rFonts w:ascii="宋体" w:hAnsi="宋体"/>
          <w:sz w:val="24"/>
          <w:u w:val="single"/>
        </w:rPr>
      </w:pPr>
      <w:r>
        <w:rPr>
          <w:rFonts w:hint="eastAsia" w:ascii="宋体" w:hAnsi="宋体"/>
          <w:sz w:val="24"/>
        </w:rPr>
        <w:t>交货地点：</w:t>
      </w:r>
    </w:p>
    <w:p>
      <w:pPr>
        <w:spacing w:line="440" w:lineRule="exact"/>
        <w:ind w:left="571" w:leftChars="272"/>
        <w:rPr>
          <w:rFonts w:ascii="宋体" w:hAnsi="宋体"/>
          <w:sz w:val="24"/>
        </w:rPr>
      </w:pPr>
      <w:r>
        <w:rPr>
          <w:rFonts w:hint="eastAsia" w:ascii="宋体" w:hAnsi="宋体"/>
          <w:sz w:val="24"/>
        </w:rPr>
        <w:t>3、风险负担：</w:t>
      </w:r>
    </w:p>
    <w:p>
      <w:pPr>
        <w:spacing w:line="440" w:lineRule="exact"/>
        <w:ind w:left="380" w:leftChars="181" w:firstLine="575"/>
        <w:rPr>
          <w:rFonts w:ascii="宋体" w:hAnsi="宋体"/>
          <w:sz w:val="24"/>
        </w:rPr>
      </w:pPr>
      <w:r>
        <w:rPr>
          <w:rFonts w:hint="eastAsia" w:ascii="宋体" w:hAnsi="宋体"/>
          <w:sz w:val="24"/>
        </w:rPr>
        <w:t>货物毁损、灭失的风险在该货物通过甲乙双方联合验收交付前由乙方承担，通过联合验收交付后由甲方承担；因质量问题甲方拒收的，风险由乙方承担。</w:t>
      </w:r>
    </w:p>
    <w:p>
      <w:pPr>
        <w:spacing w:line="440" w:lineRule="exact"/>
        <w:ind w:left="380" w:leftChars="181"/>
        <w:rPr>
          <w:rFonts w:ascii="宋体" w:hAnsi="宋体"/>
          <w:b/>
          <w:bCs/>
          <w:sz w:val="24"/>
        </w:rPr>
      </w:pPr>
      <w:r>
        <w:rPr>
          <w:rFonts w:hint="eastAsia" w:ascii="宋体" w:hAnsi="宋体"/>
          <w:b/>
          <w:bCs/>
          <w:sz w:val="24"/>
        </w:rPr>
        <w:t>六、质量</w:t>
      </w:r>
    </w:p>
    <w:p>
      <w:pPr>
        <w:tabs>
          <w:tab w:val="left" w:pos="382"/>
        </w:tabs>
        <w:spacing w:line="440" w:lineRule="exact"/>
        <w:ind w:left="380" w:leftChars="181" w:firstLine="480"/>
        <w:rPr>
          <w:rFonts w:ascii="宋体" w:hAnsi="宋体"/>
          <w:sz w:val="24"/>
        </w:rPr>
      </w:pPr>
      <w:r>
        <w:rPr>
          <w:rFonts w:hint="eastAsia" w:ascii="宋体" w:hAnsi="宋体"/>
          <w:sz w:val="24"/>
        </w:rPr>
        <w:t>货物的质量应符合招标文件、投标文件及乙方在询标过程中做出的书面澄清及承诺。</w:t>
      </w:r>
    </w:p>
    <w:p>
      <w:pPr>
        <w:tabs>
          <w:tab w:val="left" w:pos="382"/>
        </w:tabs>
        <w:spacing w:line="440" w:lineRule="exact"/>
        <w:ind w:left="283" w:leftChars="135" w:firstLine="99"/>
        <w:rPr>
          <w:rFonts w:ascii="宋体" w:hAnsi="宋体"/>
          <w:b/>
          <w:bCs/>
          <w:sz w:val="24"/>
        </w:rPr>
      </w:pPr>
      <w:r>
        <w:rPr>
          <w:rFonts w:hint="eastAsia" w:ascii="宋体" w:hAnsi="宋体"/>
          <w:b/>
          <w:bCs/>
          <w:sz w:val="24"/>
        </w:rPr>
        <w:t>七、包装</w:t>
      </w:r>
    </w:p>
    <w:p>
      <w:pPr>
        <w:spacing w:line="440" w:lineRule="exact"/>
        <w:ind w:left="380" w:leftChars="181" w:firstLine="480"/>
        <w:rPr>
          <w:rFonts w:ascii="宋体" w:hAnsi="宋体"/>
          <w:sz w:val="24"/>
        </w:rPr>
      </w:pPr>
      <w:r>
        <w:rPr>
          <w:rFonts w:hint="eastAsia" w:ascii="宋体" w:hAnsi="宋体"/>
          <w:sz w:val="24"/>
        </w:rPr>
        <w:t>货物的包装应按照国家或业务主管部门的技术规定执行，国家或业务主管部门无技术规定的，应当按双方约定采取足以保护货物安全、完好的包装方式。</w:t>
      </w:r>
    </w:p>
    <w:p>
      <w:pPr>
        <w:spacing w:line="440" w:lineRule="exact"/>
        <w:ind w:left="380" w:leftChars="181" w:firstLine="2"/>
        <w:rPr>
          <w:rFonts w:ascii="宋体" w:hAnsi="宋体"/>
          <w:b/>
          <w:bCs/>
          <w:sz w:val="24"/>
        </w:rPr>
      </w:pPr>
      <w:r>
        <w:rPr>
          <w:rFonts w:hint="eastAsia" w:ascii="宋体" w:hAnsi="宋体"/>
          <w:b/>
          <w:bCs/>
          <w:sz w:val="24"/>
        </w:rPr>
        <w:t>八、运输要求</w:t>
      </w:r>
    </w:p>
    <w:p>
      <w:pPr>
        <w:tabs>
          <w:tab w:val="left" w:pos="8786"/>
        </w:tabs>
        <w:spacing w:line="440" w:lineRule="exact"/>
        <w:ind w:left="479" w:leftChars="228"/>
        <w:rPr>
          <w:rFonts w:ascii="宋体" w:hAnsi="宋体"/>
        </w:rPr>
      </w:pPr>
      <w:r>
        <w:rPr>
          <w:rFonts w:hint="eastAsia" w:ascii="宋体" w:hAnsi="宋体"/>
          <w:sz w:val="24"/>
        </w:rPr>
        <w:t>1、运输方式及线路：</w:t>
      </w:r>
    </w:p>
    <w:p>
      <w:pPr>
        <w:spacing w:line="440" w:lineRule="exact"/>
        <w:ind w:firstLine="480" w:firstLineChars="200"/>
        <w:rPr>
          <w:rFonts w:ascii="宋体" w:hAnsi="宋体"/>
          <w:sz w:val="24"/>
        </w:rPr>
      </w:pPr>
      <w:r>
        <w:rPr>
          <w:rFonts w:hint="eastAsia" w:ascii="宋体" w:hAnsi="宋体"/>
          <w:sz w:val="24"/>
        </w:rPr>
        <w:t>2、运输及相关费用由乙方承担。</w:t>
      </w:r>
    </w:p>
    <w:p>
      <w:pPr>
        <w:spacing w:line="440" w:lineRule="exact"/>
        <w:ind w:left="380" w:leftChars="181" w:firstLine="2"/>
        <w:rPr>
          <w:rFonts w:ascii="宋体" w:hAnsi="宋体"/>
          <w:b/>
          <w:bCs/>
          <w:sz w:val="24"/>
        </w:rPr>
      </w:pPr>
      <w:r>
        <w:rPr>
          <w:rFonts w:hint="eastAsia" w:ascii="宋体" w:hAnsi="宋体"/>
          <w:b/>
          <w:bCs/>
          <w:sz w:val="24"/>
        </w:rPr>
        <w:t>九、知识产权</w:t>
      </w:r>
    </w:p>
    <w:p>
      <w:pPr>
        <w:spacing w:line="440" w:lineRule="exact"/>
        <w:ind w:left="380" w:leftChars="181" w:firstLine="480"/>
        <w:rPr>
          <w:rFonts w:ascii="宋体" w:hAnsi="宋体"/>
          <w:sz w:val="24"/>
        </w:rPr>
      </w:pPr>
      <w:r>
        <w:rPr>
          <w:rFonts w:hint="eastAsia" w:ascii="宋体" w:hAnsi="宋体"/>
          <w:sz w:val="24"/>
        </w:rPr>
        <w:t>乙方应保证甲方在中国境内使用货物或货物的任何一部分时，免受第三方提出的侵犯其知识产权的诉讼。</w:t>
      </w:r>
    </w:p>
    <w:p>
      <w:pPr>
        <w:spacing w:line="440" w:lineRule="exact"/>
        <w:ind w:left="283" w:leftChars="135" w:firstLine="97"/>
        <w:rPr>
          <w:rFonts w:ascii="宋体" w:hAnsi="宋体"/>
          <w:b/>
          <w:bCs/>
          <w:sz w:val="24"/>
        </w:rPr>
      </w:pPr>
      <w:r>
        <w:rPr>
          <w:rFonts w:hint="eastAsia" w:ascii="宋体" w:hAnsi="宋体"/>
          <w:b/>
          <w:bCs/>
          <w:sz w:val="24"/>
        </w:rPr>
        <w:t>十、验收</w:t>
      </w:r>
    </w:p>
    <w:p>
      <w:pPr>
        <w:spacing w:line="440" w:lineRule="exact"/>
        <w:ind w:left="380" w:leftChars="181" w:firstLine="240" w:firstLineChars="100"/>
        <w:rPr>
          <w:rFonts w:ascii="宋体" w:hAnsi="宋体"/>
          <w:sz w:val="24"/>
        </w:rPr>
      </w:pPr>
      <w:r>
        <w:rPr>
          <w:rFonts w:hint="eastAsia" w:ascii="宋体" w:hAnsi="宋体"/>
          <w:sz w:val="24"/>
        </w:rPr>
        <w:t>1、设备到货后，甲方和乙方个工作日内共同开箱检验货物的质量状况和数量，视为初验，如货物需要安装、调试，则由乙方负责并承担相应的费用，甲方应积极配合，安装调试后设备运行个月后第一周进行中验，设备运行个月后第一周进行终验，并共同在《政府采购项目验收单》上签字确认。</w:t>
      </w:r>
    </w:p>
    <w:p>
      <w:pPr>
        <w:spacing w:line="440" w:lineRule="exact"/>
        <w:ind w:left="380" w:leftChars="181" w:firstLine="240" w:firstLineChars="100"/>
        <w:rPr>
          <w:rFonts w:ascii="宋体" w:hAnsi="宋体"/>
          <w:sz w:val="24"/>
        </w:rPr>
      </w:pPr>
      <w:r>
        <w:rPr>
          <w:rFonts w:hint="eastAsia" w:ascii="宋体" w:hAnsi="宋体"/>
          <w:sz w:val="24"/>
        </w:rPr>
        <w:t>2、对货物的质量问题，甲方应在实际发现之日起日内向乙方主张权利。</w:t>
      </w:r>
    </w:p>
    <w:p>
      <w:pPr>
        <w:tabs>
          <w:tab w:val="left" w:pos="573"/>
        </w:tabs>
        <w:spacing w:line="440" w:lineRule="exact"/>
        <w:ind w:left="380" w:leftChars="181" w:firstLine="7"/>
        <w:rPr>
          <w:rFonts w:ascii="宋体" w:hAnsi="宋体"/>
          <w:b/>
          <w:bCs/>
          <w:sz w:val="24"/>
        </w:rPr>
      </w:pPr>
      <w:r>
        <w:rPr>
          <w:rFonts w:hint="eastAsia" w:ascii="宋体" w:hAnsi="宋体"/>
          <w:b/>
          <w:bCs/>
          <w:sz w:val="24"/>
        </w:rPr>
        <w:t>十一、售后服务</w:t>
      </w:r>
    </w:p>
    <w:p>
      <w:pPr>
        <w:spacing w:line="440" w:lineRule="exact"/>
        <w:ind w:left="380" w:leftChars="181" w:firstLine="285"/>
        <w:rPr>
          <w:rFonts w:ascii="宋体" w:hAnsi="宋体"/>
          <w:sz w:val="24"/>
        </w:rPr>
      </w:pPr>
      <w:r>
        <w:rPr>
          <w:rFonts w:hint="eastAsia" w:ascii="宋体" w:hAnsi="宋体"/>
          <w:sz w:val="24"/>
        </w:rPr>
        <w:t>1、乙方应按招标文件、投标文件及乙方在询标过程中做出的书面说明或承诺提供及时、快速、优质的售后服务。在质保期内，出现故障后接到采购人通知，立即响应，24小时内派技术人员赴现场维修处理;质保期外，出现故障接到采购人通知后，能立即响应，协商解决方案，24小时内解决问题，费用协商处理。</w:t>
      </w:r>
    </w:p>
    <w:p>
      <w:pPr>
        <w:spacing w:line="440" w:lineRule="exact"/>
        <w:ind w:left="380" w:leftChars="181" w:firstLine="285"/>
        <w:rPr>
          <w:rFonts w:ascii="宋体" w:hAnsi="宋体"/>
          <w:sz w:val="24"/>
        </w:rPr>
      </w:pPr>
      <w:r>
        <w:rPr>
          <w:rFonts w:hint="eastAsia" w:ascii="宋体" w:hAnsi="宋体"/>
          <w:sz w:val="24"/>
        </w:rPr>
        <w:t>2、其他售后服务内容：</w:t>
      </w:r>
    </w:p>
    <w:p>
      <w:pPr>
        <w:tabs>
          <w:tab w:val="left" w:pos="573"/>
        </w:tabs>
        <w:spacing w:line="440" w:lineRule="exact"/>
        <w:ind w:left="380" w:leftChars="181" w:firstLine="7"/>
        <w:rPr>
          <w:rFonts w:ascii="宋体" w:hAnsi="宋体"/>
          <w:b/>
          <w:bCs/>
          <w:sz w:val="24"/>
        </w:rPr>
      </w:pPr>
      <w:r>
        <w:rPr>
          <w:rFonts w:hint="eastAsia" w:ascii="宋体" w:hAnsi="宋体"/>
          <w:b/>
          <w:bCs/>
          <w:sz w:val="24"/>
        </w:rPr>
        <w:t>十二、合同生效</w:t>
      </w:r>
    </w:p>
    <w:p>
      <w:pPr>
        <w:spacing w:line="440" w:lineRule="exact"/>
        <w:ind w:left="479" w:leftChars="228" w:firstLine="285"/>
        <w:rPr>
          <w:rFonts w:ascii="宋体" w:hAnsi="宋体"/>
          <w:sz w:val="24"/>
        </w:rPr>
      </w:pPr>
      <w:r>
        <w:rPr>
          <w:rFonts w:hint="eastAsia" w:ascii="宋体" w:hAnsi="宋体"/>
          <w:sz w:val="24"/>
        </w:rPr>
        <w:t>本合同为附条件生效合同，除甲乙双方签章，还应满足以下条件时合同生效：</w:t>
      </w:r>
    </w:p>
    <w:p>
      <w:pPr>
        <w:tabs>
          <w:tab w:val="left" w:pos="955"/>
          <w:tab w:val="left" w:pos="1146"/>
        </w:tabs>
        <w:spacing w:line="440" w:lineRule="exact"/>
        <w:ind w:left="571" w:leftChars="272" w:firstLine="192" w:firstLineChars="80"/>
        <w:rPr>
          <w:rFonts w:ascii="宋体" w:hAnsi="宋体"/>
          <w:sz w:val="24"/>
        </w:rPr>
      </w:pPr>
      <w:r>
        <w:rPr>
          <w:rFonts w:hint="eastAsia" w:ascii="宋体" w:hAnsi="宋体"/>
          <w:sz w:val="24"/>
        </w:rPr>
        <w:t>本合同乙方应提交：履约保证金、中标服务费。</w:t>
      </w:r>
    </w:p>
    <w:p>
      <w:pPr>
        <w:spacing w:line="440" w:lineRule="exact"/>
        <w:ind w:left="380" w:leftChars="181"/>
        <w:rPr>
          <w:rFonts w:ascii="宋体" w:hAnsi="宋体"/>
          <w:b/>
          <w:bCs/>
          <w:sz w:val="24"/>
        </w:rPr>
      </w:pPr>
      <w:r>
        <w:rPr>
          <w:rFonts w:hint="eastAsia" w:ascii="宋体" w:hAnsi="宋体"/>
          <w:b/>
          <w:bCs/>
          <w:sz w:val="24"/>
        </w:rPr>
        <w:t>十三、违约条款</w:t>
      </w:r>
    </w:p>
    <w:p>
      <w:pPr>
        <w:numPr>
          <w:ilvl w:val="0"/>
          <w:numId w:val="12"/>
        </w:numPr>
        <w:tabs>
          <w:tab w:val="left" w:pos="955"/>
          <w:tab w:val="left" w:pos="1146"/>
          <w:tab w:val="clear" w:pos="840"/>
        </w:tabs>
        <w:spacing w:line="440" w:lineRule="exact"/>
        <w:ind w:left="953" w:leftChars="364" w:hanging="189"/>
        <w:rPr>
          <w:rFonts w:ascii="宋体" w:hAnsi="宋体"/>
          <w:sz w:val="24"/>
        </w:rPr>
      </w:pPr>
      <w:r>
        <w:rPr>
          <w:rFonts w:hint="eastAsia" w:ascii="宋体" w:hAnsi="宋体"/>
          <w:sz w:val="24"/>
        </w:rPr>
        <w:t>甲方如逾期付款，每逾期1日，按应付金额0.3‰支付违约金。</w:t>
      </w:r>
    </w:p>
    <w:p>
      <w:pPr>
        <w:numPr>
          <w:ilvl w:val="0"/>
          <w:numId w:val="12"/>
        </w:numPr>
        <w:tabs>
          <w:tab w:val="left" w:pos="764"/>
          <w:tab w:val="left" w:pos="1146"/>
          <w:tab w:val="clear" w:pos="840"/>
        </w:tabs>
        <w:spacing w:line="440" w:lineRule="exact"/>
        <w:ind w:left="762" w:leftChars="363" w:firstLine="0"/>
        <w:rPr>
          <w:rFonts w:ascii="宋体" w:hAnsi="宋体"/>
          <w:sz w:val="24"/>
        </w:rPr>
      </w:pPr>
      <w:r>
        <w:rPr>
          <w:rFonts w:hint="eastAsia" w:ascii="宋体" w:hAnsi="宋体"/>
          <w:sz w:val="24"/>
        </w:rPr>
        <w:t>甲方延迟验收货物，延迟验收期间发生的费用由甲方承担赔偿责任。</w:t>
      </w:r>
    </w:p>
    <w:p>
      <w:pPr>
        <w:tabs>
          <w:tab w:val="left" w:pos="1146"/>
        </w:tabs>
        <w:spacing w:line="440" w:lineRule="exact"/>
        <w:ind w:left="762" w:leftChars="363"/>
        <w:rPr>
          <w:rFonts w:ascii="宋体" w:hAnsi="宋体"/>
          <w:sz w:val="24"/>
        </w:rPr>
      </w:pPr>
      <w:r>
        <w:rPr>
          <w:rFonts w:hint="eastAsia" w:ascii="宋体" w:hAnsi="宋体"/>
          <w:sz w:val="24"/>
        </w:rPr>
        <w:t>3、乙方延迟交货，每延迟1日，按应交付货物总额0.3‰支付违约金。</w:t>
      </w:r>
    </w:p>
    <w:p>
      <w:pPr>
        <w:tabs>
          <w:tab w:val="left" w:pos="573"/>
          <w:tab w:val="left" w:pos="764"/>
        </w:tabs>
        <w:spacing w:line="440" w:lineRule="exact"/>
        <w:ind w:left="380" w:leftChars="181" w:firstLine="384" w:firstLineChars="160"/>
        <w:rPr>
          <w:rFonts w:ascii="宋体" w:hAnsi="宋体"/>
          <w:sz w:val="24"/>
        </w:rPr>
      </w:pPr>
      <w:r>
        <w:rPr>
          <w:rFonts w:hint="eastAsia" w:ascii="宋体" w:hAnsi="宋体"/>
          <w:sz w:val="24"/>
        </w:rPr>
        <w:t>4、乙方履行合同不符合规定，除应按合同约定及时调换外，在调换货物期间，应按调换货物金额每日0.3‰向甲方支付违约金。</w:t>
      </w:r>
    </w:p>
    <w:p>
      <w:pPr>
        <w:spacing w:line="440" w:lineRule="exact"/>
        <w:ind w:left="380" w:leftChars="181" w:firstLine="384" w:firstLineChars="160"/>
        <w:rPr>
          <w:rFonts w:ascii="宋体" w:hAnsi="宋体"/>
          <w:sz w:val="24"/>
        </w:rPr>
      </w:pPr>
      <w:r>
        <w:rPr>
          <w:rFonts w:hint="eastAsia" w:ascii="宋体" w:hAnsi="宋体"/>
          <w:sz w:val="24"/>
        </w:rPr>
        <w:t>5、一方不按期履行合同，并经另一方提示后30日内仍不履行合同的，守约方有权解除合同，违约方要承担相应的赔偿责任。</w:t>
      </w:r>
    </w:p>
    <w:p>
      <w:pPr>
        <w:spacing w:line="440" w:lineRule="exact"/>
        <w:ind w:left="380" w:leftChars="181" w:firstLine="573"/>
        <w:rPr>
          <w:rFonts w:ascii="宋体" w:hAnsi="宋体"/>
          <w:sz w:val="24"/>
        </w:rPr>
      </w:pPr>
      <w:r>
        <w:rPr>
          <w:rFonts w:hint="eastAsia" w:ascii="宋体" w:hAnsi="宋体"/>
          <w:sz w:val="24"/>
        </w:rPr>
        <w:t>如乙方违约，甲方有权扣除乙方履约保证金，履约保证金不足部分，甲方保留追索的权利。如甲方违约，甲方应将履约保证金退给乙方。</w:t>
      </w:r>
    </w:p>
    <w:p>
      <w:pPr>
        <w:spacing w:line="440" w:lineRule="exact"/>
        <w:ind w:left="380" w:leftChars="181" w:firstLine="384"/>
        <w:rPr>
          <w:rFonts w:ascii="宋体" w:hAnsi="宋体"/>
          <w:sz w:val="24"/>
        </w:rPr>
      </w:pPr>
      <w:r>
        <w:rPr>
          <w:rFonts w:hint="eastAsia" w:ascii="宋体" w:hAnsi="宋体"/>
          <w:sz w:val="24"/>
        </w:rPr>
        <w:t>6、如因一方违约，双方未能就赔偿损失达成协议，引起诉讼或仲裁时，违约方除应赔偿对方经济损失外，还应承担对方因诉讼或仲裁所支付的律师代理费等相关费用。</w:t>
      </w:r>
    </w:p>
    <w:p>
      <w:pPr>
        <w:spacing w:line="440" w:lineRule="exact"/>
        <w:ind w:left="380" w:leftChars="181" w:firstLine="384"/>
        <w:rPr>
          <w:rFonts w:ascii="宋体" w:hAnsi="宋体"/>
          <w:sz w:val="24"/>
        </w:rPr>
      </w:pPr>
      <w:r>
        <w:rPr>
          <w:rFonts w:hint="eastAsia" w:ascii="宋体" w:hAnsi="宋体"/>
          <w:sz w:val="24"/>
        </w:rPr>
        <w:t xml:space="preserve">7、其它应承担的违约责任，以《中华人民共和国合同法》和其它有关法律、法规规定为准，无相关规定的，双方协商解决。 </w:t>
      </w:r>
    </w:p>
    <w:p>
      <w:pPr>
        <w:spacing w:line="440" w:lineRule="exact"/>
        <w:ind w:left="380" w:leftChars="181" w:firstLine="384"/>
        <w:rPr>
          <w:rFonts w:ascii="宋体" w:hAnsi="宋体"/>
          <w:sz w:val="24"/>
        </w:rPr>
      </w:pPr>
      <w:r>
        <w:rPr>
          <w:rFonts w:hint="eastAsia" w:ascii="宋体" w:hAnsi="宋体"/>
          <w:sz w:val="24"/>
        </w:rPr>
        <w:t>8、按照本合同规定应该偿付的违约金、赔偿金等，应当在明确责任后日内，按银行规定或双方商定的结算办法付清，否则按逾期付款处理。</w:t>
      </w:r>
    </w:p>
    <w:p>
      <w:pPr>
        <w:spacing w:line="440" w:lineRule="exact"/>
        <w:ind w:left="380" w:leftChars="181"/>
        <w:rPr>
          <w:rFonts w:ascii="宋体" w:hAnsi="宋体"/>
          <w:b/>
          <w:bCs/>
          <w:sz w:val="24"/>
        </w:rPr>
      </w:pPr>
      <w:r>
        <w:rPr>
          <w:rFonts w:hint="eastAsia" w:ascii="宋体" w:hAnsi="宋体"/>
          <w:b/>
          <w:bCs/>
          <w:sz w:val="24"/>
        </w:rPr>
        <w:t>十四、不可抗力条款</w:t>
      </w:r>
    </w:p>
    <w:p>
      <w:pPr>
        <w:spacing w:line="440" w:lineRule="exact"/>
        <w:ind w:left="479" w:leftChars="228" w:firstLine="376" w:firstLineChars="157"/>
        <w:rPr>
          <w:rFonts w:ascii="宋体" w:hAnsi="宋体"/>
          <w:sz w:val="24"/>
        </w:rPr>
      </w:pPr>
      <w:r>
        <w:rPr>
          <w:rFonts w:hint="eastAsia" w:ascii="宋体" w:hAnsi="宋体"/>
          <w:sz w:val="24"/>
        </w:rPr>
        <w:t>因不可抗力致使一方不能及时或完全履行合同的，应及时通知财政局、招标代理机构及另一方，双方互不承担责任，并在15天内提供有关不可抗力的相应证明。</w:t>
      </w:r>
    </w:p>
    <w:p>
      <w:pPr>
        <w:spacing w:line="440" w:lineRule="exact"/>
        <w:ind w:left="380" w:leftChars="181" w:firstLine="480" w:firstLineChars="200"/>
        <w:rPr>
          <w:rFonts w:ascii="宋体" w:hAnsi="宋体"/>
          <w:sz w:val="24"/>
        </w:rPr>
      </w:pPr>
      <w:r>
        <w:rPr>
          <w:rFonts w:hint="eastAsia" w:ascii="宋体" w:hAnsi="宋体"/>
          <w:sz w:val="24"/>
        </w:rPr>
        <w:t>合同未履行部分是否继续履行、如何履行等问题，可由双方协商解决。</w:t>
      </w:r>
    </w:p>
    <w:p>
      <w:pPr>
        <w:spacing w:line="440" w:lineRule="exact"/>
        <w:ind w:left="380" w:leftChars="181"/>
        <w:rPr>
          <w:rFonts w:ascii="宋体" w:hAnsi="宋体"/>
          <w:b/>
          <w:bCs/>
          <w:sz w:val="24"/>
        </w:rPr>
      </w:pPr>
      <w:r>
        <w:rPr>
          <w:rFonts w:hint="eastAsia" w:ascii="宋体" w:hAnsi="宋体"/>
          <w:b/>
          <w:bCs/>
          <w:sz w:val="24"/>
        </w:rPr>
        <w:t>十五、争议的解决方式</w:t>
      </w:r>
    </w:p>
    <w:p>
      <w:pPr>
        <w:pStyle w:val="3"/>
        <w:spacing w:line="440" w:lineRule="exact"/>
        <w:ind w:left="380" w:leftChars="181"/>
        <w:rPr>
          <w:rFonts w:ascii="宋体" w:hAnsi="宋体"/>
        </w:rPr>
      </w:pPr>
      <w:r>
        <w:rPr>
          <w:rFonts w:hint="eastAsia" w:ascii="宋体" w:hAnsi="宋体"/>
        </w:rPr>
        <w:t>合同发生纠纷时，双方应协商解决，协商不成可以采用下列方式解决：（1）提交临沂仲裁委员会仲裁；（2）向临沂市人民法院起诉。本合同发生纠纷，经双方协商不能解决时，采用第种方式予以解决。</w:t>
      </w:r>
    </w:p>
    <w:p>
      <w:pPr>
        <w:pStyle w:val="3"/>
        <w:spacing w:line="440" w:lineRule="exact"/>
        <w:ind w:left="478" w:leftChars="182" w:hanging="96" w:hangingChars="40"/>
        <w:rPr>
          <w:rFonts w:ascii="宋体" w:hAnsi="宋体"/>
          <w:b/>
          <w:bCs/>
        </w:rPr>
      </w:pPr>
      <w:r>
        <w:rPr>
          <w:rFonts w:hint="eastAsia" w:ascii="宋体" w:hAnsi="宋体"/>
          <w:b/>
          <w:bCs/>
        </w:rPr>
        <w:t>十六、补充协议</w:t>
      </w:r>
    </w:p>
    <w:p>
      <w:pPr>
        <w:pStyle w:val="3"/>
        <w:spacing w:line="440" w:lineRule="exact"/>
        <w:ind w:left="380" w:leftChars="181"/>
        <w:rPr>
          <w:rFonts w:ascii="宋体" w:hAnsi="宋体"/>
        </w:rPr>
      </w:pPr>
      <w:r>
        <w:rPr>
          <w:rFonts w:hint="eastAsia" w:ascii="宋体" w:hAnsi="宋体"/>
        </w:rPr>
        <w:t>合同未尽事宜，经双方协商可签订补充协议，所签订的补充协议与本合同具有同等的法律效力，补充协议的生效应符合本合同第十二条的规定。合同补充条款应同时报</w:t>
      </w:r>
      <w:r>
        <w:rPr>
          <w:rFonts w:hint="eastAsia" w:ascii="宋体" w:hAnsi="宋体"/>
          <w:u w:val="single"/>
        </w:rPr>
        <w:t>市</w:t>
      </w:r>
      <w:r>
        <w:rPr>
          <w:rFonts w:hint="eastAsia" w:ascii="宋体" w:hAnsi="宋体"/>
        </w:rPr>
        <w:t>财政局、招标代理机构备案。</w:t>
      </w:r>
    </w:p>
    <w:p>
      <w:pPr>
        <w:spacing w:line="440" w:lineRule="exact"/>
        <w:ind w:left="380" w:leftChars="181" w:firstLine="2"/>
        <w:rPr>
          <w:rFonts w:ascii="宋体" w:hAnsi="宋体"/>
          <w:b/>
          <w:bCs/>
          <w:sz w:val="24"/>
        </w:rPr>
      </w:pPr>
      <w:r>
        <w:rPr>
          <w:rFonts w:hint="eastAsia" w:ascii="宋体" w:hAnsi="宋体"/>
          <w:b/>
          <w:bCs/>
          <w:sz w:val="24"/>
        </w:rPr>
        <w:t>十七、其他</w:t>
      </w:r>
    </w:p>
    <w:p>
      <w:pPr>
        <w:numPr>
          <w:ilvl w:val="0"/>
          <w:numId w:val="13"/>
        </w:numPr>
        <w:spacing w:line="440" w:lineRule="exact"/>
        <w:rPr>
          <w:rFonts w:ascii="宋体" w:hAnsi="宋体"/>
          <w:sz w:val="24"/>
        </w:rPr>
      </w:pPr>
      <w:r>
        <w:rPr>
          <w:rFonts w:hint="eastAsia" w:ascii="宋体" w:hAnsi="宋体"/>
          <w:sz w:val="24"/>
        </w:rPr>
        <w:t>甲方在授予合同时有权在对采招标件中规定的货物数量和服务予以增加或</w:t>
      </w:r>
    </w:p>
    <w:p>
      <w:pPr>
        <w:spacing w:line="440" w:lineRule="exact"/>
        <w:ind w:firstLine="480" w:firstLineChars="200"/>
        <w:rPr>
          <w:rFonts w:ascii="宋体" w:hAnsi="宋体"/>
          <w:sz w:val="24"/>
        </w:rPr>
      </w:pPr>
      <w:r>
        <w:rPr>
          <w:rFonts w:hint="eastAsia" w:ascii="宋体" w:hAnsi="宋体"/>
          <w:sz w:val="24"/>
        </w:rPr>
        <w:t>减少，乙方不改变报价单价。</w:t>
      </w:r>
    </w:p>
    <w:p>
      <w:pPr>
        <w:numPr>
          <w:ilvl w:val="0"/>
          <w:numId w:val="13"/>
        </w:numPr>
        <w:spacing w:line="440" w:lineRule="exact"/>
        <w:rPr>
          <w:rFonts w:ascii="宋体" w:hAnsi="宋体"/>
          <w:sz w:val="24"/>
        </w:rPr>
      </w:pPr>
      <w:r>
        <w:rPr>
          <w:rFonts w:hint="eastAsia" w:ascii="宋体" w:hAnsi="宋体"/>
          <w:sz w:val="24"/>
        </w:rPr>
        <w:t>合同生效后，甲方如因实际使用需要增加已供设备数量时，乙方提供应不</w:t>
      </w:r>
    </w:p>
    <w:p>
      <w:pPr>
        <w:spacing w:line="440" w:lineRule="exact"/>
        <w:ind w:firstLine="480" w:firstLineChars="200"/>
        <w:rPr>
          <w:rFonts w:ascii="宋体" w:hAnsi="宋体"/>
          <w:sz w:val="24"/>
        </w:rPr>
      </w:pPr>
      <w:r>
        <w:rPr>
          <w:rFonts w:hint="eastAsia" w:ascii="宋体" w:hAnsi="宋体"/>
          <w:sz w:val="24"/>
        </w:rPr>
        <w:t>高于中标时的单价。</w:t>
      </w:r>
    </w:p>
    <w:p>
      <w:pPr>
        <w:spacing w:line="440" w:lineRule="exact"/>
        <w:ind w:left="380" w:leftChars="181" w:firstLine="2"/>
        <w:rPr>
          <w:rFonts w:ascii="宋体" w:hAnsi="宋体"/>
          <w:b/>
          <w:bCs/>
          <w:sz w:val="24"/>
        </w:rPr>
      </w:pPr>
      <w:r>
        <w:rPr>
          <w:rFonts w:hint="eastAsia" w:ascii="宋体" w:hAnsi="宋体"/>
          <w:b/>
          <w:bCs/>
          <w:sz w:val="24"/>
        </w:rPr>
        <w:t>十八、合同保存</w:t>
      </w:r>
    </w:p>
    <w:p>
      <w:pPr>
        <w:spacing w:line="440" w:lineRule="exact"/>
        <w:ind w:left="958" w:leftChars="456"/>
        <w:rPr>
          <w:rFonts w:ascii="宋体" w:hAnsi="宋体"/>
          <w:sz w:val="24"/>
        </w:rPr>
      </w:pPr>
      <w:r>
        <w:rPr>
          <w:rFonts w:hint="eastAsia" w:ascii="宋体" w:hAnsi="宋体"/>
          <w:sz w:val="24"/>
        </w:rPr>
        <w:t>本合同一式</w:t>
      </w:r>
      <w:r>
        <w:rPr>
          <w:rFonts w:hint="eastAsia" w:ascii="宋体" w:hAnsi="宋体"/>
          <w:sz w:val="24"/>
          <w:u w:val="single"/>
        </w:rPr>
        <w:t xml:space="preserve"> 4 </w:t>
      </w:r>
      <w:r>
        <w:rPr>
          <w:rFonts w:hint="eastAsia" w:ascii="宋体" w:hAnsi="宋体"/>
          <w:sz w:val="24"/>
        </w:rPr>
        <w:t>份，甲方</w:t>
      </w:r>
      <w:r>
        <w:rPr>
          <w:rFonts w:hint="eastAsia" w:ascii="宋体" w:hAnsi="宋体"/>
          <w:sz w:val="24"/>
          <w:u w:val="single"/>
        </w:rPr>
        <w:t xml:space="preserve"> 1 </w:t>
      </w:r>
      <w:r>
        <w:rPr>
          <w:rFonts w:hint="eastAsia" w:ascii="宋体" w:hAnsi="宋体"/>
          <w:sz w:val="24"/>
        </w:rPr>
        <w:t>份，乙方</w:t>
      </w:r>
      <w:r>
        <w:rPr>
          <w:rFonts w:hint="eastAsia" w:ascii="宋体" w:hAnsi="宋体"/>
          <w:sz w:val="24"/>
          <w:u w:val="single"/>
        </w:rPr>
        <w:t xml:space="preserve"> 1 </w:t>
      </w:r>
      <w:r>
        <w:rPr>
          <w:rFonts w:hint="eastAsia" w:ascii="宋体" w:hAnsi="宋体"/>
          <w:sz w:val="24"/>
        </w:rPr>
        <w:t>份，临沂市政府采购监督管理办公室</w:t>
      </w:r>
      <w:r>
        <w:rPr>
          <w:rFonts w:hint="eastAsia" w:ascii="宋体" w:hAnsi="宋体"/>
          <w:sz w:val="24"/>
          <w:u w:val="single"/>
        </w:rPr>
        <w:t xml:space="preserve">1 </w:t>
      </w:r>
      <w:r>
        <w:rPr>
          <w:rFonts w:hint="eastAsia" w:ascii="宋体" w:hAnsi="宋体"/>
          <w:sz w:val="24"/>
        </w:rPr>
        <w:t>份，招标代理机构</w:t>
      </w:r>
      <w:r>
        <w:rPr>
          <w:rFonts w:hint="eastAsia" w:ascii="宋体" w:hAnsi="宋体"/>
          <w:sz w:val="24"/>
          <w:u w:val="single"/>
        </w:rPr>
        <w:t xml:space="preserve"> 1 </w:t>
      </w:r>
      <w:r>
        <w:rPr>
          <w:rFonts w:hint="eastAsia" w:ascii="宋体" w:hAnsi="宋体"/>
          <w:sz w:val="24"/>
        </w:rPr>
        <w:t>份。</w:t>
      </w:r>
    </w:p>
    <w:p>
      <w:pPr>
        <w:spacing w:line="440" w:lineRule="exact"/>
        <w:ind w:left="958" w:leftChars="456"/>
        <w:rPr>
          <w:rFonts w:ascii="宋体" w:hAnsi="宋体"/>
          <w:sz w:val="24"/>
        </w:rPr>
      </w:pPr>
    </w:p>
    <w:p>
      <w:pPr>
        <w:spacing w:line="440" w:lineRule="exact"/>
        <w:ind w:left="380" w:leftChars="181" w:firstLine="480"/>
        <w:rPr>
          <w:rFonts w:ascii="宋体" w:hAnsi="宋体"/>
          <w:sz w:val="24"/>
        </w:rPr>
      </w:pPr>
      <w:r>
        <w:rPr>
          <w:rFonts w:hint="eastAsia" w:ascii="宋体" w:hAnsi="宋体"/>
          <w:sz w:val="24"/>
        </w:rPr>
        <w:t>甲    方：                             乙    方：</w:t>
      </w:r>
    </w:p>
    <w:p>
      <w:pPr>
        <w:spacing w:line="440" w:lineRule="exact"/>
        <w:ind w:left="380" w:leftChars="181" w:firstLine="480" w:firstLineChars="200"/>
        <w:rPr>
          <w:rFonts w:ascii="宋体" w:hAnsi="宋体"/>
          <w:sz w:val="24"/>
        </w:rPr>
      </w:pPr>
      <w:r>
        <w:rPr>
          <w:rFonts w:hint="eastAsia" w:ascii="宋体" w:hAnsi="宋体"/>
          <w:sz w:val="24"/>
        </w:rPr>
        <w:t>盖    章                               盖    章</w:t>
      </w:r>
    </w:p>
    <w:p>
      <w:pPr>
        <w:spacing w:beforeLines="50" w:line="440" w:lineRule="exact"/>
        <w:ind w:left="380" w:leftChars="181" w:firstLine="482"/>
        <w:rPr>
          <w:rFonts w:ascii="宋体" w:hAnsi="宋体"/>
          <w:sz w:val="24"/>
        </w:rPr>
      </w:pPr>
      <w:r>
        <w:rPr>
          <w:rFonts w:hint="eastAsia" w:ascii="宋体" w:hAnsi="宋体"/>
          <w:sz w:val="24"/>
        </w:rPr>
        <w:t>全权代表：（签字或盖章）                全权代表：（签字或盖章）</w:t>
      </w:r>
    </w:p>
    <w:p>
      <w:pPr>
        <w:spacing w:beforeLines="50" w:line="440" w:lineRule="exact"/>
        <w:ind w:left="380" w:leftChars="181" w:firstLine="482"/>
        <w:rPr>
          <w:rFonts w:ascii="宋体" w:hAnsi="宋体"/>
          <w:sz w:val="24"/>
        </w:rPr>
      </w:pPr>
      <w:r>
        <w:rPr>
          <w:rFonts w:hint="eastAsia" w:ascii="宋体" w:hAnsi="宋体"/>
          <w:sz w:val="24"/>
        </w:rPr>
        <w:t>地    址：                             地    址：</w:t>
      </w:r>
    </w:p>
    <w:p>
      <w:pPr>
        <w:spacing w:beforeLines="50" w:line="440" w:lineRule="exact"/>
        <w:ind w:left="380" w:leftChars="181" w:firstLine="482"/>
        <w:rPr>
          <w:rFonts w:ascii="宋体" w:hAnsi="宋体"/>
          <w:sz w:val="24"/>
        </w:rPr>
      </w:pPr>
      <w:r>
        <w:rPr>
          <w:rFonts w:hint="eastAsia" w:ascii="宋体" w:hAnsi="宋体"/>
          <w:sz w:val="24"/>
        </w:rPr>
        <w:t>邮政编码：                             邮政编码：</w:t>
      </w:r>
    </w:p>
    <w:p>
      <w:pPr>
        <w:spacing w:beforeLines="50" w:line="440" w:lineRule="exact"/>
        <w:ind w:left="380" w:leftChars="181" w:firstLine="482"/>
        <w:rPr>
          <w:rFonts w:ascii="宋体" w:hAnsi="宋体"/>
          <w:sz w:val="24"/>
        </w:rPr>
      </w:pPr>
      <w:r>
        <w:rPr>
          <w:rFonts w:hint="eastAsia" w:ascii="宋体" w:hAnsi="宋体"/>
          <w:sz w:val="24"/>
        </w:rPr>
        <w:t>电    话：                             电    话：</w:t>
      </w:r>
    </w:p>
    <w:p>
      <w:pPr>
        <w:spacing w:beforeLines="50" w:line="440" w:lineRule="exact"/>
        <w:ind w:left="380" w:leftChars="181" w:firstLine="482"/>
        <w:rPr>
          <w:rFonts w:ascii="宋体" w:hAnsi="宋体"/>
          <w:sz w:val="24"/>
        </w:rPr>
      </w:pPr>
      <w:r>
        <w:rPr>
          <w:rFonts w:hint="eastAsia" w:ascii="宋体" w:hAnsi="宋体"/>
          <w:sz w:val="24"/>
        </w:rPr>
        <w:t>开户单位：                             开户单位：</w:t>
      </w:r>
    </w:p>
    <w:p>
      <w:pPr>
        <w:spacing w:beforeLines="50" w:line="440" w:lineRule="exact"/>
        <w:ind w:left="380" w:leftChars="181" w:firstLine="482"/>
        <w:rPr>
          <w:rFonts w:ascii="宋体" w:hAnsi="宋体"/>
          <w:sz w:val="24"/>
        </w:rPr>
      </w:pPr>
      <w:r>
        <w:rPr>
          <w:rFonts w:hint="eastAsia" w:ascii="宋体" w:hAnsi="宋体"/>
          <w:sz w:val="24"/>
        </w:rPr>
        <w:t>开户银行：                             开户银行：</w:t>
      </w:r>
    </w:p>
    <w:p>
      <w:pPr>
        <w:spacing w:beforeLines="50" w:line="440" w:lineRule="exact"/>
        <w:ind w:left="380" w:leftChars="181" w:firstLine="482"/>
        <w:rPr>
          <w:rFonts w:ascii="宋体" w:hAnsi="宋体"/>
          <w:sz w:val="24"/>
        </w:rPr>
      </w:pPr>
      <w:r>
        <w:rPr>
          <w:rFonts w:hint="eastAsia" w:ascii="宋体" w:hAnsi="宋体"/>
          <w:sz w:val="24"/>
        </w:rPr>
        <w:t xml:space="preserve">帐    号：                             帐    号： </w:t>
      </w:r>
    </w:p>
    <w:p>
      <w:pPr>
        <w:spacing w:beforeLines="50" w:line="440" w:lineRule="exact"/>
        <w:ind w:left="380" w:leftChars="181" w:firstLine="482"/>
        <w:rPr>
          <w:rFonts w:ascii="宋体" w:hAnsi="宋体"/>
          <w:sz w:val="24"/>
        </w:rPr>
      </w:pPr>
      <w:r>
        <w:rPr>
          <w:rFonts w:hint="eastAsia" w:ascii="宋体" w:hAnsi="宋体"/>
          <w:sz w:val="24"/>
        </w:rPr>
        <w:t xml:space="preserve">电    话                               电    话  </w:t>
      </w:r>
    </w:p>
    <w:p>
      <w:pPr>
        <w:spacing w:line="480" w:lineRule="exact"/>
        <w:ind w:firstLine="760" w:firstLineChars="317"/>
        <w:rPr>
          <w:rFonts w:ascii="宋体" w:hAnsi="宋体" w:cs="仿宋"/>
          <w:sz w:val="24"/>
          <w:szCs w:val="24"/>
        </w:rPr>
      </w:pPr>
      <w:r>
        <w:rPr>
          <w:rFonts w:hint="eastAsia" w:ascii="宋体" w:hAnsi="宋体"/>
          <w:sz w:val="24"/>
        </w:rPr>
        <w:t>本合同签订时间：                       本合同签订时间：</w:t>
      </w:r>
    </w:p>
    <w:p>
      <w:pPr>
        <w:spacing w:line="440" w:lineRule="exact"/>
        <w:rPr>
          <w:rFonts w:ascii="宋体" w:hAnsi="宋体" w:cs="仿宋"/>
          <w:b/>
          <w:sz w:val="24"/>
          <w:szCs w:val="24"/>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linePitch="312" w:charSpace="0"/>
        </w:sectPr>
      </w:pPr>
    </w:p>
    <w:p>
      <w:pPr>
        <w:pStyle w:val="6"/>
        <w:spacing w:before="0" w:after="0" w:line="240" w:lineRule="auto"/>
        <w:jc w:val="center"/>
        <w:rPr>
          <w:sz w:val="32"/>
          <w:szCs w:val="32"/>
        </w:rPr>
      </w:pPr>
      <w:bookmarkStart w:id="45" w:name="_Toc511397075"/>
      <w:r>
        <w:rPr>
          <w:rFonts w:hint="eastAsia"/>
          <w:sz w:val="32"/>
          <w:szCs w:val="32"/>
        </w:rPr>
        <w:t>第五章  附件</w:t>
      </w:r>
      <w:bookmarkEnd w:id="45"/>
    </w:p>
    <w:p>
      <w:pPr>
        <w:spacing w:line="480" w:lineRule="exact"/>
        <w:jc w:val="center"/>
        <w:rPr>
          <w:rFonts w:ascii="宋体" w:hAnsi="宋体" w:cs="仿宋"/>
          <w:b/>
          <w:bCs/>
          <w:sz w:val="30"/>
          <w:szCs w:val="30"/>
        </w:rPr>
      </w:pPr>
    </w:p>
    <w:p>
      <w:pPr>
        <w:spacing w:line="480" w:lineRule="exact"/>
        <w:jc w:val="center"/>
        <w:rPr>
          <w:rFonts w:ascii="宋体" w:hAnsi="宋体" w:cs="仿宋"/>
          <w:b/>
          <w:bCs/>
          <w:sz w:val="30"/>
          <w:szCs w:val="30"/>
        </w:rPr>
      </w:pPr>
      <w:r>
        <w:rPr>
          <w:rFonts w:hint="eastAsia" w:ascii="宋体" w:hAnsi="宋体" w:cs="仿宋"/>
          <w:b/>
          <w:bCs/>
          <w:sz w:val="30"/>
          <w:szCs w:val="30"/>
        </w:rPr>
        <w:t>投标文件资料真实性声明</w:t>
      </w:r>
    </w:p>
    <w:p>
      <w:pPr>
        <w:spacing w:line="500" w:lineRule="exact"/>
        <w:jc w:val="left"/>
        <w:rPr>
          <w:rFonts w:ascii="仿宋_GB2312" w:eastAsia="仿宋_GB2312" w:cs="仿宋_GB2312"/>
          <w:color w:val="000000"/>
          <w:kern w:val="0"/>
          <w:sz w:val="32"/>
          <w:szCs w:val="32"/>
        </w:rPr>
      </w:pPr>
      <w:r>
        <w:rPr>
          <w:rFonts w:hint="eastAsia" w:ascii="宋体" w:hAnsi="宋体" w:cs="宋体"/>
          <w:sz w:val="24"/>
          <w:szCs w:val="22"/>
        </w:rPr>
        <w:t>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480" w:lineRule="exact"/>
        <w:jc w:val="center"/>
        <w:rPr>
          <w:rFonts w:ascii="仿宋_GB2312" w:eastAsia="仿宋_GB2312" w:cs="仿宋_GB2312"/>
          <w:color w:val="000000"/>
          <w:kern w:val="0"/>
          <w:sz w:val="32"/>
          <w:szCs w:val="32"/>
        </w:rPr>
      </w:pPr>
    </w:p>
    <w:p>
      <w:pPr>
        <w:pStyle w:val="2"/>
        <w:ind w:firstLine="640"/>
        <w:rPr>
          <w:rFonts w:ascii="仿宋_GB2312" w:eastAsia="仿宋_GB2312" w:cs="仿宋_GB2312"/>
          <w:color w:val="000000"/>
          <w:kern w:val="0"/>
          <w:sz w:val="32"/>
          <w:szCs w:val="32"/>
        </w:rPr>
      </w:pPr>
    </w:p>
    <w:p>
      <w:pPr>
        <w:pStyle w:val="4"/>
        <w:ind w:firstLine="320"/>
        <w:rPr>
          <w:rFonts w:ascii="仿宋_GB2312" w:eastAsia="仿宋_GB2312" w:cs="仿宋_GB2312"/>
          <w:color w:val="000000"/>
          <w:kern w:val="0"/>
          <w:sz w:val="32"/>
          <w:szCs w:val="32"/>
        </w:rPr>
      </w:pPr>
    </w:p>
    <w:p>
      <w:pPr>
        <w:pStyle w:val="4"/>
        <w:ind w:firstLine="320"/>
        <w:rPr>
          <w:rFonts w:ascii="仿宋_GB2312" w:eastAsia="仿宋_GB2312" w:cs="仿宋_GB2312"/>
          <w:color w:val="000000"/>
          <w:kern w:val="0"/>
          <w:sz w:val="32"/>
          <w:szCs w:val="32"/>
        </w:rPr>
      </w:pPr>
    </w:p>
    <w:p>
      <w:pPr>
        <w:pStyle w:val="4"/>
        <w:ind w:firstLine="320"/>
        <w:rPr>
          <w:rFonts w:ascii="仿宋_GB2312" w:eastAsia="仿宋_GB2312" w:cs="仿宋_GB2312"/>
          <w:color w:val="000000"/>
          <w:kern w:val="0"/>
          <w:sz w:val="32"/>
          <w:szCs w:val="32"/>
        </w:rPr>
      </w:pPr>
    </w:p>
    <w:p>
      <w:pPr>
        <w:spacing w:line="360" w:lineRule="exact"/>
        <w:ind w:left="120" w:hanging="120" w:hangingChars="50"/>
        <w:jc w:val="left"/>
        <w:rPr>
          <w:rFonts w:ascii="宋体" w:hAnsi="宋体" w:cs="宋体"/>
          <w:sz w:val="24"/>
        </w:rPr>
      </w:pPr>
      <w:r>
        <w:rPr>
          <w:rFonts w:hint="eastAsia" w:ascii="宋体" w:hAnsi="宋体" w:cs="宋体"/>
          <w:sz w:val="24"/>
        </w:rPr>
        <w:t>承诺单位：（公章）</w:t>
      </w:r>
    </w:p>
    <w:p>
      <w:pPr>
        <w:spacing w:line="360" w:lineRule="exact"/>
        <w:ind w:left="120" w:hanging="120" w:hangingChars="50"/>
        <w:jc w:val="left"/>
        <w:rPr>
          <w:rFonts w:ascii="宋体" w:hAnsi="宋体" w:cs="宋体"/>
          <w:sz w:val="24"/>
        </w:rPr>
      </w:pPr>
      <w:r>
        <w:rPr>
          <w:rFonts w:hint="eastAsia" w:ascii="宋体" w:hAnsi="宋体" w:cs="宋体"/>
          <w:sz w:val="24"/>
        </w:rPr>
        <w:t>法定代表人或委托代理人：</w:t>
      </w:r>
      <w:r>
        <w:rPr>
          <w:rFonts w:hint="eastAsia" w:ascii="宋体" w:hAnsi="宋体" w:cs="宋体"/>
          <w:sz w:val="24"/>
        </w:rPr>
        <w:br w:type="textWrapping"/>
      </w:r>
      <w:r>
        <w:rPr>
          <w:rFonts w:hint="eastAsia" w:ascii="宋体" w:hAnsi="宋体" w:cs="宋体"/>
          <w:sz w:val="24"/>
        </w:rPr>
        <w:t xml:space="preserve">                </w:t>
      </w:r>
    </w:p>
    <w:p>
      <w:pPr>
        <w:spacing w:line="360" w:lineRule="exact"/>
        <w:rPr>
          <w:rFonts w:ascii="宋体" w:hAnsi="宋体" w:cs="宋体"/>
          <w:sz w:val="24"/>
        </w:rPr>
      </w:pPr>
    </w:p>
    <w:p>
      <w:pPr>
        <w:spacing w:line="360" w:lineRule="exact"/>
        <w:ind w:firstLine="7200" w:firstLineChars="3000"/>
        <w:rPr>
          <w:rFonts w:ascii="宋体" w:hAnsi="宋体" w:cs="宋体"/>
          <w:sz w:val="24"/>
        </w:rPr>
      </w:pPr>
      <w:r>
        <w:rPr>
          <w:rFonts w:hint="eastAsia" w:ascii="宋体" w:hAnsi="宋体" w:cs="宋体"/>
          <w:sz w:val="24"/>
        </w:rPr>
        <w:t xml:space="preserve"> 年  月  日</w:t>
      </w:r>
    </w:p>
    <w:p>
      <w:pPr>
        <w:spacing w:line="480" w:lineRule="exact"/>
        <w:jc w:val="center"/>
        <w:rPr>
          <w:rFonts w:ascii="宋体" w:hAnsi="宋体" w:cs="仿宋"/>
          <w:b/>
          <w:bCs/>
          <w:sz w:val="30"/>
          <w:szCs w:val="30"/>
        </w:rPr>
      </w:pPr>
    </w:p>
    <w:p>
      <w:pPr>
        <w:spacing w:line="480" w:lineRule="exact"/>
        <w:jc w:val="center"/>
        <w:rPr>
          <w:rFonts w:ascii="宋体" w:hAnsi="宋体" w:cs="仿宋"/>
          <w:b/>
          <w:bCs/>
          <w:sz w:val="30"/>
          <w:szCs w:val="30"/>
        </w:rPr>
      </w:pPr>
      <w:r>
        <w:rPr>
          <w:rFonts w:hint="eastAsia" w:ascii="宋体" w:hAnsi="宋体" w:cs="仿宋"/>
          <w:b/>
          <w:bCs/>
          <w:sz w:val="30"/>
          <w:szCs w:val="30"/>
        </w:rPr>
        <w:br w:type="page"/>
      </w:r>
    </w:p>
    <w:p>
      <w:pPr>
        <w:spacing w:line="480" w:lineRule="exact"/>
        <w:jc w:val="center"/>
        <w:rPr>
          <w:rFonts w:ascii="宋体" w:hAnsi="宋体" w:cs="仿宋"/>
          <w:b/>
          <w:bCs/>
          <w:sz w:val="36"/>
          <w:szCs w:val="36"/>
        </w:rPr>
      </w:pPr>
      <w:r>
        <w:rPr>
          <w:rFonts w:hint="eastAsia" w:ascii="宋体" w:hAnsi="宋体" w:cs="仿宋"/>
          <w:b/>
          <w:bCs/>
          <w:sz w:val="36"/>
          <w:szCs w:val="36"/>
        </w:rPr>
        <w:t>报 价 函</w:t>
      </w:r>
    </w:p>
    <w:p>
      <w:pPr>
        <w:spacing w:line="440" w:lineRule="exact"/>
        <w:jc w:val="left"/>
        <w:rPr>
          <w:rFonts w:ascii="宋体" w:hAnsi="宋体"/>
          <w:sz w:val="24"/>
        </w:rPr>
      </w:pPr>
      <w:r>
        <w:rPr>
          <w:rFonts w:hint="eastAsia" w:ascii="宋体" w:hAnsi="宋体"/>
          <w:sz w:val="24"/>
        </w:rPr>
        <w:t>山东元真建设项目管理有限公司：</w:t>
      </w:r>
    </w:p>
    <w:p>
      <w:pPr>
        <w:spacing w:line="440" w:lineRule="exact"/>
        <w:ind w:firstLine="480" w:firstLineChars="200"/>
        <w:rPr>
          <w:rFonts w:ascii="宋体" w:hAnsi="宋体"/>
          <w:sz w:val="24"/>
        </w:rPr>
      </w:pPr>
      <w:r>
        <w:rPr>
          <w:rFonts w:hint="eastAsia" w:ascii="宋体" w:hAnsi="宋体"/>
          <w:sz w:val="24"/>
        </w:rPr>
        <w:t>经研究，我方决定参加项目（项目编号：   ）的采购活动并提交报价文件。经研究本次采购项目的投标须知、技术规范及相关文件，我方愿意按上述技术规范等有关项目文件的要求参加该采购项目。为此，我方郑重声明以下诸点，并负法律责任：</w:t>
      </w:r>
    </w:p>
    <w:p>
      <w:pPr>
        <w:spacing w:line="440" w:lineRule="exact"/>
        <w:ind w:firstLine="480" w:firstLineChars="200"/>
        <w:rPr>
          <w:rFonts w:ascii="宋体" w:hAnsi="宋体"/>
          <w:sz w:val="24"/>
        </w:rPr>
      </w:pPr>
      <w:r>
        <w:rPr>
          <w:rFonts w:hint="eastAsia" w:ascii="宋体" w:hAnsi="宋体"/>
          <w:sz w:val="24"/>
        </w:rPr>
        <w:t>1.我方完全理解和接受招标文件的一切规定和要求，按规定提交投标文件数量。</w:t>
      </w:r>
    </w:p>
    <w:p>
      <w:pPr>
        <w:spacing w:line="440" w:lineRule="exact"/>
        <w:ind w:firstLine="480" w:firstLineChars="200"/>
        <w:rPr>
          <w:rFonts w:ascii="宋体" w:hAnsi="宋体"/>
          <w:sz w:val="24"/>
        </w:rPr>
      </w:pPr>
      <w:r>
        <w:rPr>
          <w:rFonts w:hint="eastAsia" w:ascii="宋体" w:hAnsi="宋体"/>
          <w:sz w:val="24"/>
        </w:rPr>
        <w:t>2.如果我方的投标文件被接受，我方将履行招标文件中规定的每一项要求，并按我方投标文件中的承诺，保证按期完成项目的实施。</w:t>
      </w:r>
    </w:p>
    <w:p>
      <w:pPr>
        <w:spacing w:line="440" w:lineRule="exact"/>
        <w:ind w:firstLine="480" w:firstLineChars="200"/>
        <w:rPr>
          <w:rFonts w:ascii="宋体" w:hAnsi="宋体"/>
          <w:sz w:val="24"/>
        </w:rPr>
      </w:pPr>
      <w:r>
        <w:rPr>
          <w:rFonts w:hint="eastAsia" w:ascii="宋体" w:hAnsi="宋体"/>
          <w:sz w:val="24"/>
        </w:rPr>
        <w:t>3.我方理解，最低报价不是中标的唯一条件，你们有选择中标人的权利。</w:t>
      </w:r>
    </w:p>
    <w:p>
      <w:pPr>
        <w:spacing w:line="440" w:lineRule="exact"/>
        <w:ind w:firstLine="480" w:firstLineChars="200"/>
        <w:rPr>
          <w:rFonts w:ascii="宋体" w:hAnsi="宋体"/>
          <w:sz w:val="24"/>
        </w:rPr>
      </w:pPr>
      <w:r>
        <w:rPr>
          <w:rFonts w:hint="eastAsia" w:ascii="宋体" w:hAnsi="宋体"/>
          <w:sz w:val="24"/>
        </w:rPr>
        <w:t>4.我方愿按《中华人民共和国合同法》履行自己的全部责任。</w:t>
      </w:r>
    </w:p>
    <w:p>
      <w:pPr>
        <w:pStyle w:val="3"/>
        <w:spacing w:line="440" w:lineRule="exact"/>
        <w:rPr>
          <w:rFonts w:ascii="宋体" w:hAnsi="宋体"/>
        </w:rPr>
      </w:pPr>
      <w:r>
        <w:rPr>
          <w:rFonts w:hint="eastAsia" w:ascii="宋体" w:hAnsi="宋体"/>
        </w:rPr>
        <w:t>5.我方同意按招标文件要求交纳投标保证金，遵守贵机构对本次项目所做的有关规定。</w:t>
      </w:r>
    </w:p>
    <w:p>
      <w:pPr>
        <w:spacing w:line="440" w:lineRule="exact"/>
        <w:ind w:firstLine="480" w:firstLineChars="200"/>
        <w:rPr>
          <w:rFonts w:ascii="宋体" w:hAnsi="宋体"/>
          <w:sz w:val="24"/>
        </w:rPr>
      </w:pPr>
      <w:r>
        <w:rPr>
          <w:rFonts w:hint="eastAsia" w:ascii="宋体" w:hAnsi="宋体"/>
          <w:sz w:val="24"/>
        </w:rPr>
        <w:t>6.我方投标文件的有效期为投标截止时间起90个工作日。</w:t>
      </w:r>
    </w:p>
    <w:p>
      <w:pPr>
        <w:spacing w:line="440" w:lineRule="exact"/>
        <w:ind w:firstLine="480" w:firstLineChars="200"/>
        <w:rPr>
          <w:rFonts w:ascii="宋体" w:hAnsi="宋体"/>
          <w:sz w:val="24"/>
        </w:rPr>
      </w:pPr>
      <w:r>
        <w:rPr>
          <w:rFonts w:hint="eastAsia" w:ascii="宋体" w:hAnsi="宋体"/>
          <w:sz w:val="24"/>
        </w:rPr>
        <w:t>7.我方若未成为中标人，贵机构有权不做任何解释。</w:t>
      </w:r>
    </w:p>
    <w:p>
      <w:pPr>
        <w:spacing w:line="440" w:lineRule="exact"/>
        <w:ind w:firstLine="480" w:firstLineChars="200"/>
        <w:rPr>
          <w:rFonts w:ascii="宋体" w:hAnsi="宋体"/>
          <w:sz w:val="24"/>
        </w:rPr>
      </w:pPr>
      <w:r>
        <w:rPr>
          <w:rFonts w:hint="eastAsia" w:ascii="宋体" w:hAnsi="宋体"/>
          <w:sz w:val="24"/>
        </w:rPr>
        <w:t>8.我方与本此投标有关的一切正式往来通讯请寄：</w:t>
      </w:r>
    </w:p>
    <w:p>
      <w:pPr>
        <w:spacing w:line="440" w:lineRule="exact"/>
        <w:ind w:firstLine="480" w:firstLineChars="200"/>
        <w:rPr>
          <w:rFonts w:ascii="宋体" w:hAnsi="宋体"/>
          <w:sz w:val="24"/>
        </w:rPr>
      </w:pPr>
      <w:r>
        <w:rPr>
          <w:rFonts w:hint="eastAsia" w:ascii="宋体" w:hAnsi="宋体"/>
          <w:sz w:val="24"/>
        </w:rPr>
        <w:t>地    址：</w:t>
      </w:r>
    </w:p>
    <w:p>
      <w:pPr>
        <w:spacing w:line="440" w:lineRule="exact"/>
        <w:ind w:firstLine="480" w:firstLineChars="200"/>
        <w:rPr>
          <w:rFonts w:ascii="宋体" w:hAnsi="宋体"/>
          <w:sz w:val="24"/>
        </w:rPr>
      </w:pPr>
      <w:r>
        <w:rPr>
          <w:rFonts w:hint="eastAsia" w:ascii="宋体" w:hAnsi="宋体"/>
          <w:sz w:val="24"/>
        </w:rPr>
        <w:t>邮政编号：</w:t>
      </w:r>
    </w:p>
    <w:p>
      <w:pPr>
        <w:spacing w:line="440" w:lineRule="exact"/>
        <w:ind w:firstLine="480" w:firstLineChars="200"/>
        <w:rPr>
          <w:rFonts w:ascii="宋体" w:hAnsi="宋体"/>
          <w:sz w:val="24"/>
        </w:rPr>
      </w:pPr>
      <w:r>
        <w:rPr>
          <w:rFonts w:hint="eastAsia" w:ascii="宋体" w:hAnsi="宋体"/>
          <w:sz w:val="24"/>
        </w:rPr>
        <w:t>电    话：</w:t>
      </w:r>
    </w:p>
    <w:p>
      <w:pPr>
        <w:spacing w:line="440" w:lineRule="exact"/>
        <w:ind w:firstLine="480" w:firstLineChars="200"/>
        <w:rPr>
          <w:rFonts w:ascii="宋体" w:hAnsi="宋体"/>
          <w:sz w:val="24"/>
        </w:rPr>
      </w:pPr>
      <w:r>
        <w:rPr>
          <w:rFonts w:hint="eastAsia" w:ascii="宋体" w:hAnsi="宋体"/>
          <w:sz w:val="24"/>
        </w:rPr>
        <w:t>传    真：</w:t>
      </w:r>
    </w:p>
    <w:p>
      <w:pPr>
        <w:spacing w:line="440" w:lineRule="exact"/>
        <w:ind w:firstLine="480" w:firstLineChars="200"/>
        <w:rPr>
          <w:rFonts w:ascii="宋体" w:hAnsi="宋体"/>
          <w:sz w:val="24"/>
        </w:rPr>
      </w:pPr>
      <w:r>
        <w:rPr>
          <w:rFonts w:hint="eastAsia" w:ascii="宋体" w:hAnsi="宋体"/>
          <w:sz w:val="24"/>
        </w:rPr>
        <w:t>开户单位：</w:t>
      </w:r>
    </w:p>
    <w:p>
      <w:pPr>
        <w:spacing w:line="440" w:lineRule="exact"/>
        <w:ind w:firstLine="480" w:firstLineChars="200"/>
        <w:rPr>
          <w:rFonts w:ascii="宋体" w:hAnsi="宋体"/>
          <w:sz w:val="24"/>
        </w:rPr>
      </w:pPr>
      <w:r>
        <w:rPr>
          <w:rFonts w:hint="eastAsia" w:ascii="宋体" w:hAnsi="宋体"/>
          <w:sz w:val="24"/>
        </w:rPr>
        <w:t>开户银行：</w:t>
      </w:r>
    </w:p>
    <w:p>
      <w:pPr>
        <w:spacing w:line="440" w:lineRule="exact"/>
        <w:ind w:firstLine="480" w:firstLineChars="200"/>
        <w:rPr>
          <w:rFonts w:ascii="宋体" w:hAnsi="宋体"/>
          <w:sz w:val="24"/>
        </w:rPr>
      </w:pPr>
      <w:r>
        <w:rPr>
          <w:rFonts w:hint="eastAsia" w:ascii="宋体" w:hAnsi="宋体"/>
          <w:sz w:val="24"/>
        </w:rPr>
        <w:t>账    号：</w:t>
      </w:r>
    </w:p>
    <w:p>
      <w:pPr>
        <w:spacing w:line="440" w:lineRule="exact"/>
        <w:ind w:firstLine="480" w:firstLineChars="200"/>
        <w:rPr>
          <w:rFonts w:ascii="宋体" w:hAnsi="宋体"/>
          <w:sz w:val="24"/>
        </w:rPr>
      </w:pPr>
      <w:r>
        <w:rPr>
          <w:rFonts w:hint="eastAsia" w:ascii="宋体" w:hAnsi="宋体"/>
          <w:sz w:val="24"/>
        </w:rPr>
        <w:t>投标人全权代表姓名、职务：</w:t>
      </w:r>
    </w:p>
    <w:p>
      <w:pPr>
        <w:spacing w:line="440" w:lineRule="exact"/>
        <w:ind w:firstLine="480" w:firstLineChars="200"/>
        <w:rPr>
          <w:rFonts w:ascii="宋体" w:hAnsi="宋体"/>
          <w:sz w:val="24"/>
        </w:rPr>
      </w:pPr>
      <w:r>
        <w:rPr>
          <w:rFonts w:hint="eastAsia" w:ascii="宋体" w:hAnsi="宋体"/>
          <w:sz w:val="24"/>
        </w:rPr>
        <w:t>投标人全称（公章）：</w:t>
      </w:r>
    </w:p>
    <w:p>
      <w:pPr>
        <w:spacing w:line="440" w:lineRule="exact"/>
        <w:ind w:firstLine="480" w:firstLineChars="200"/>
        <w:rPr>
          <w:rFonts w:ascii="宋体" w:hAnsi="宋体"/>
          <w:sz w:val="24"/>
        </w:rPr>
      </w:pPr>
      <w:r>
        <w:rPr>
          <w:rFonts w:hint="eastAsia" w:ascii="宋体" w:hAnsi="宋体"/>
          <w:sz w:val="24"/>
        </w:rPr>
        <w:t>法定代表人签字：</w:t>
      </w:r>
    </w:p>
    <w:p>
      <w:pPr>
        <w:spacing w:line="480" w:lineRule="exact"/>
        <w:jc w:val="right"/>
        <w:rPr>
          <w:rFonts w:ascii="宋体" w:hAnsi="宋体" w:cs="仿宋"/>
          <w:sz w:val="24"/>
          <w:szCs w:val="24"/>
        </w:rPr>
      </w:pPr>
      <w:r>
        <w:rPr>
          <w:rFonts w:hint="eastAsia" w:ascii="宋体" w:hAnsi="宋体" w:cs="仿宋"/>
          <w:sz w:val="24"/>
          <w:szCs w:val="24"/>
        </w:rPr>
        <w:t>年   月   日</w:t>
      </w:r>
    </w:p>
    <w:p>
      <w:pPr>
        <w:spacing w:line="480" w:lineRule="exact"/>
        <w:ind w:firstLine="480" w:firstLineChars="200"/>
        <w:rPr>
          <w:rFonts w:ascii="宋体" w:hAnsi="宋体" w:cs="仿宋"/>
          <w:sz w:val="24"/>
          <w:szCs w:val="24"/>
        </w:rPr>
        <w:sectPr>
          <w:pgSz w:w="11906" w:h="16838"/>
          <w:pgMar w:top="1440" w:right="1800" w:bottom="1440" w:left="1800" w:header="851" w:footer="992" w:gutter="0"/>
          <w:cols w:space="720" w:num="1"/>
          <w:docGrid w:linePitch="312" w:charSpace="0"/>
        </w:sectPr>
      </w:pPr>
    </w:p>
    <w:p>
      <w:pPr>
        <w:spacing w:before="100" w:beforeAutospacing="1" w:after="100" w:afterAutospacing="1" w:line="440" w:lineRule="exact"/>
        <w:jc w:val="center"/>
        <w:rPr>
          <w:rFonts w:ascii="宋体" w:hAnsi="宋体"/>
          <w:b/>
          <w:bCs/>
          <w:sz w:val="44"/>
          <w:szCs w:val="44"/>
        </w:rPr>
      </w:pPr>
      <w:r>
        <w:rPr>
          <w:rFonts w:hint="eastAsia" w:ascii="宋体" w:hAnsi="宋体"/>
          <w:b/>
          <w:bCs/>
          <w:sz w:val="32"/>
          <w:szCs w:val="32"/>
        </w:rPr>
        <w:t>法定代表人授权委托书</w:t>
      </w:r>
    </w:p>
    <w:p>
      <w:pPr>
        <w:spacing w:before="100" w:beforeAutospacing="1" w:after="100" w:afterAutospacing="1" w:line="440" w:lineRule="exact"/>
        <w:jc w:val="center"/>
        <w:rPr>
          <w:rFonts w:ascii="宋体" w:hAnsi="宋体"/>
          <w:b/>
          <w:bCs/>
          <w:sz w:val="44"/>
          <w:szCs w:val="44"/>
        </w:rPr>
      </w:pPr>
    </w:p>
    <w:p>
      <w:pPr>
        <w:spacing w:line="440" w:lineRule="exact"/>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（姓名）  </w:t>
      </w: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法定代表人，现授权委托</w:t>
      </w:r>
      <w:r>
        <w:rPr>
          <w:rFonts w:hint="eastAsia" w:ascii="宋体" w:hAnsi="宋体"/>
          <w:sz w:val="24"/>
          <w:u w:val="single"/>
        </w:rPr>
        <w:t>（姓名、职务或职称）</w:t>
      </w:r>
      <w:r>
        <w:rPr>
          <w:rFonts w:hint="eastAsia" w:ascii="宋体" w:hAnsi="宋体"/>
          <w:sz w:val="24"/>
        </w:rPr>
        <w:t xml:space="preserve">为我单位本次项目的全权代表，以本单位的名义参加组织的招标活动，全权代表在参加 </w:t>
      </w:r>
      <w:r>
        <w:rPr>
          <w:rFonts w:hint="eastAsia" w:ascii="宋体" w:hAnsi="宋体"/>
          <w:sz w:val="24"/>
          <w:u w:val="single"/>
        </w:rPr>
        <w:t xml:space="preserve">               项目</w:t>
      </w:r>
      <w:r>
        <w:rPr>
          <w:rFonts w:hint="eastAsia" w:ascii="宋体" w:hAnsi="宋体"/>
          <w:sz w:val="24"/>
        </w:rPr>
        <w:t>（项目编号：   ）过程中所签署的一切文件和处理与之有关的一切事务，我均予以承认。</w:t>
      </w:r>
    </w:p>
    <w:p>
      <w:pPr>
        <w:spacing w:line="440" w:lineRule="exact"/>
        <w:ind w:firstLine="525"/>
        <w:rPr>
          <w:rFonts w:ascii="宋体" w:hAnsi="宋体"/>
          <w:sz w:val="24"/>
        </w:rPr>
      </w:pPr>
      <w:r>
        <w:rPr>
          <w:rFonts w:hint="eastAsia" w:ascii="宋体" w:hAnsi="宋体"/>
          <w:sz w:val="24"/>
        </w:rPr>
        <w:t>全权代表无权转让委托权。特此委托。</w:t>
      </w:r>
    </w:p>
    <w:p>
      <w:pPr>
        <w:spacing w:line="440" w:lineRule="exact"/>
        <w:ind w:left="480" w:firstLine="480"/>
        <w:rPr>
          <w:rFonts w:ascii="宋体" w:hAnsi="宋体"/>
          <w:sz w:val="24"/>
        </w:rPr>
      </w:pPr>
    </w:p>
    <w:p>
      <w:pPr>
        <w:spacing w:line="440" w:lineRule="exact"/>
        <w:ind w:left="480" w:firstLine="480"/>
        <w:rPr>
          <w:rFonts w:ascii="宋体" w:hAnsi="宋体"/>
          <w:sz w:val="24"/>
        </w:rPr>
      </w:pPr>
    </w:p>
    <w:p>
      <w:pPr>
        <w:spacing w:line="440" w:lineRule="exact"/>
        <w:rPr>
          <w:rFonts w:ascii="宋体" w:hAnsi="宋体"/>
          <w:sz w:val="24"/>
        </w:rPr>
      </w:pPr>
    </w:p>
    <w:p>
      <w:pPr>
        <w:spacing w:line="440" w:lineRule="exact"/>
        <w:jc w:val="center"/>
        <w:rPr>
          <w:rFonts w:ascii="宋体" w:hAnsi="宋体"/>
          <w:sz w:val="24"/>
        </w:rPr>
      </w:pPr>
      <w:r>
        <w:rPr>
          <w:rFonts w:hint="eastAsia" w:ascii="宋体" w:hAnsi="宋体"/>
          <w:sz w:val="24"/>
        </w:rPr>
        <w:t>(附贴全权代表人身份证复印件)</w:t>
      </w: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rPr>
          <w:rFonts w:ascii="宋体" w:hAnsi="宋体"/>
          <w:sz w:val="24"/>
        </w:rPr>
      </w:pPr>
    </w:p>
    <w:p>
      <w:pPr>
        <w:spacing w:line="440" w:lineRule="exact"/>
        <w:jc w:val="center"/>
        <w:rPr>
          <w:rFonts w:ascii="宋体" w:hAnsi="宋体"/>
          <w:sz w:val="24"/>
        </w:rPr>
      </w:pPr>
    </w:p>
    <w:p>
      <w:pPr>
        <w:spacing w:line="440" w:lineRule="exact"/>
        <w:rPr>
          <w:rFonts w:ascii="宋体" w:hAnsi="宋体"/>
          <w:sz w:val="24"/>
        </w:rPr>
      </w:pPr>
      <w:r>
        <w:rPr>
          <w:rFonts w:hint="eastAsia" w:ascii="宋体" w:hAnsi="宋体"/>
          <w:sz w:val="24"/>
        </w:rPr>
        <w:t>全权代表姓名：            性 别：           年 龄：</w:t>
      </w:r>
    </w:p>
    <w:p>
      <w:pPr>
        <w:spacing w:line="440" w:lineRule="exact"/>
        <w:rPr>
          <w:rFonts w:ascii="宋体" w:hAnsi="宋体"/>
          <w:sz w:val="24"/>
        </w:rPr>
      </w:pPr>
      <w:r>
        <w:rPr>
          <w:rFonts w:hint="eastAsia" w:ascii="宋体" w:hAnsi="宋体"/>
          <w:sz w:val="24"/>
        </w:rPr>
        <w:t>单  位：                  部 门：           职 务：</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投标人（公章）：</w:t>
      </w:r>
    </w:p>
    <w:p>
      <w:pPr>
        <w:spacing w:line="440" w:lineRule="exact"/>
        <w:rPr>
          <w:rFonts w:ascii="宋体" w:hAnsi="宋体"/>
          <w:sz w:val="24"/>
        </w:rPr>
      </w:pPr>
      <w:r>
        <w:rPr>
          <w:rFonts w:hint="eastAsia" w:ascii="宋体" w:hAnsi="宋体"/>
          <w:sz w:val="24"/>
        </w:rPr>
        <w:t>法定代表人签字：</w:t>
      </w:r>
    </w:p>
    <w:p>
      <w:pPr>
        <w:spacing w:line="440" w:lineRule="exact"/>
        <w:rPr>
          <w:rFonts w:ascii="宋体" w:hAnsi="宋体"/>
          <w:sz w:val="24"/>
        </w:rPr>
      </w:pPr>
      <w:r>
        <w:rPr>
          <w:rFonts w:hint="eastAsia" w:ascii="宋体" w:hAnsi="宋体"/>
          <w:sz w:val="24"/>
        </w:rPr>
        <w:t>日 期：      年   月   日</w:t>
      </w:r>
    </w:p>
    <w:p>
      <w:pPr>
        <w:spacing w:line="480" w:lineRule="exact"/>
        <w:rPr>
          <w:rFonts w:ascii="宋体" w:hAnsi="宋体" w:cs="仿宋"/>
          <w:sz w:val="24"/>
          <w:szCs w:val="24"/>
        </w:rPr>
      </w:pPr>
    </w:p>
    <w:p>
      <w:pPr>
        <w:spacing w:line="480" w:lineRule="exact"/>
        <w:rPr>
          <w:rFonts w:ascii="宋体" w:hAnsi="宋体" w:cs="仿宋"/>
          <w:sz w:val="24"/>
          <w:szCs w:val="24"/>
        </w:rPr>
        <w:sectPr>
          <w:pgSz w:w="11906" w:h="16838"/>
          <w:pgMar w:top="1440" w:right="1800" w:bottom="1440" w:left="1800" w:header="851" w:footer="992" w:gutter="0"/>
          <w:cols w:space="720" w:num="1"/>
          <w:docGrid w:linePitch="312" w:charSpace="0"/>
        </w:sectPr>
      </w:pPr>
    </w:p>
    <w:p>
      <w:pPr>
        <w:spacing w:line="480" w:lineRule="exact"/>
        <w:rPr>
          <w:rFonts w:ascii="宋体" w:hAnsi="宋体" w:cs="仿宋"/>
          <w:sz w:val="24"/>
          <w:szCs w:val="24"/>
        </w:rPr>
      </w:pPr>
    </w:p>
    <w:p>
      <w:pPr>
        <w:spacing w:line="480" w:lineRule="exact"/>
        <w:ind w:firstLine="3196" w:firstLineChars="995"/>
        <w:rPr>
          <w:rFonts w:ascii="仿宋" w:hAnsi="仿宋" w:eastAsia="仿宋"/>
          <w:b/>
          <w:sz w:val="32"/>
          <w:szCs w:val="32"/>
        </w:rPr>
      </w:pPr>
      <w:r>
        <w:rPr>
          <w:rFonts w:hint="eastAsia" w:ascii="仿宋" w:hAnsi="仿宋"/>
          <w:b/>
          <w:sz w:val="32"/>
          <w:szCs w:val="32"/>
        </w:rPr>
        <w:t>公开报价表（    包）</w:t>
      </w:r>
    </w:p>
    <w:p>
      <w:pPr>
        <w:spacing w:line="480" w:lineRule="exact"/>
        <w:ind w:firstLine="205" w:firstLineChars="98"/>
        <w:rPr>
          <w:rFonts w:ascii="仿宋" w:hAnsi="仿宋" w:eastAsia="仿宋"/>
          <w:szCs w:val="21"/>
        </w:rPr>
      </w:pPr>
      <w:r>
        <w:rPr>
          <w:rFonts w:hint="eastAsia" w:ascii="仿宋" w:hAnsi="仿宋"/>
          <w:szCs w:val="21"/>
        </w:rPr>
        <w:t>项目名称：XXXXXXXXXXXX                                        年     月    日</w:t>
      </w:r>
    </w:p>
    <w:tbl>
      <w:tblPr>
        <w:tblStyle w:val="5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2263" w:type="dxa"/>
            <w:vMerge w:val="restart"/>
            <w:vAlign w:val="center"/>
          </w:tcPr>
          <w:p>
            <w:pPr>
              <w:spacing w:line="400" w:lineRule="exact"/>
              <w:jc w:val="center"/>
              <w:rPr>
                <w:rFonts w:ascii="仿宋_GB2312" w:hAnsi="宋体" w:eastAsia="仿宋_GB2312"/>
                <w:sz w:val="24"/>
              </w:rPr>
            </w:pPr>
            <w:r>
              <w:rPr>
                <w:rFonts w:hint="eastAsia" w:ascii="仿宋_GB2312" w:hAnsi="宋体"/>
                <w:sz w:val="24"/>
                <w:szCs w:val="22"/>
              </w:rPr>
              <w:t>投标总价</w:t>
            </w:r>
          </w:p>
        </w:tc>
        <w:tc>
          <w:tcPr>
            <w:tcW w:w="6997"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9" w:hRule="atLeast"/>
        </w:trPr>
        <w:tc>
          <w:tcPr>
            <w:tcW w:w="2263" w:type="dxa"/>
            <w:vMerge w:val="continue"/>
            <w:vAlign w:val="center"/>
          </w:tcPr>
          <w:p>
            <w:pPr>
              <w:spacing w:line="400" w:lineRule="exact"/>
              <w:jc w:val="center"/>
              <w:rPr>
                <w:rFonts w:ascii="仿宋_GB2312" w:hAnsi="宋体" w:eastAsia="仿宋_GB2312"/>
                <w:sz w:val="24"/>
              </w:rPr>
            </w:pPr>
          </w:p>
        </w:tc>
        <w:tc>
          <w:tcPr>
            <w:tcW w:w="6997"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2263" w:type="dxa"/>
            <w:vAlign w:val="center"/>
          </w:tcPr>
          <w:p>
            <w:pPr>
              <w:spacing w:line="400" w:lineRule="exact"/>
              <w:jc w:val="center"/>
              <w:rPr>
                <w:rFonts w:ascii="仿宋_GB2312" w:hAnsi="宋体"/>
                <w:sz w:val="24"/>
              </w:rPr>
            </w:pPr>
          </w:p>
        </w:tc>
        <w:tc>
          <w:tcPr>
            <w:tcW w:w="6997"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263" w:type="dxa"/>
            <w:vAlign w:val="center"/>
          </w:tcPr>
          <w:p>
            <w:pPr>
              <w:spacing w:line="400" w:lineRule="exact"/>
              <w:jc w:val="center"/>
              <w:rPr>
                <w:rFonts w:ascii="仿宋_GB2312" w:hAnsi="宋体"/>
                <w:sz w:val="24"/>
              </w:rPr>
            </w:pPr>
          </w:p>
        </w:tc>
        <w:tc>
          <w:tcPr>
            <w:tcW w:w="6997"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263" w:type="dxa"/>
            <w:vAlign w:val="center"/>
          </w:tcPr>
          <w:p>
            <w:pPr>
              <w:spacing w:line="400" w:lineRule="exact"/>
              <w:jc w:val="center"/>
              <w:rPr>
                <w:rFonts w:hint="eastAsia" w:ascii="仿宋_GB2312" w:hAnsi="宋体"/>
                <w:sz w:val="24"/>
              </w:rPr>
            </w:pPr>
          </w:p>
        </w:tc>
        <w:tc>
          <w:tcPr>
            <w:tcW w:w="6997"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263" w:type="dxa"/>
            <w:vAlign w:val="center"/>
          </w:tcPr>
          <w:p>
            <w:pPr>
              <w:spacing w:line="400" w:lineRule="exact"/>
              <w:jc w:val="center"/>
              <w:rPr>
                <w:rFonts w:hint="eastAsia" w:ascii="仿宋_GB2312" w:hAnsi="宋体"/>
                <w:sz w:val="24"/>
              </w:rPr>
            </w:pPr>
          </w:p>
        </w:tc>
        <w:tc>
          <w:tcPr>
            <w:tcW w:w="6997"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263" w:type="dxa"/>
            <w:vAlign w:val="center"/>
          </w:tcPr>
          <w:p>
            <w:pPr>
              <w:spacing w:line="400" w:lineRule="exact"/>
              <w:jc w:val="center"/>
              <w:rPr>
                <w:rFonts w:hint="eastAsia" w:ascii="仿宋_GB2312" w:hAnsi="宋体"/>
                <w:sz w:val="24"/>
              </w:rPr>
            </w:pPr>
          </w:p>
        </w:tc>
        <w:tc>
          <w:tcPr>
            <w:tcW w:w="6997" w:type="dxa"/>
            <w:vAlign w:val="center"/>
          </w:tcPr>
          <w:p>
            <w:pPr>
              <w:spacing w:line="400" w:lineRule="exact"/>
              <w:jc w:val="center"/>
              <w:rPr>
                <w:rFonts w:ascii="仿宋_GB2312" w:hAnsi="宋体" w:eastAsia="仿宋_GB2312"/>
                <w:sz w:val="24"/>
              </w:rPr>
            </w:pPr>
          </w:p>
        </w:tc>
      </w:tr>
    </w:tbl>
    <w:p>
      <w:pPr>
        <w:spacing w:line="480" w:lineRule="exact"/>
        <w:rPr>
          <w:rFonts w:ascii="仿宋" w:hAnsi="仿宋" w:eastAsia="仿宋"/>
          <w:sz w:val="24"/>
        </w:rPr>
      </w:pPr>
    </w:p>
    <w:p>
      <w:pPr>
        <w:spacing w:line="480" w:lineRule="exact"/>
        <w:rPr>
          <w:rFonts w:ascii="仿宋" w:hAnsi="仿宋" w:eastAsia="仿宋"/>
          <w:sz w:val="24"/>
        </w:rPr>
      </w:pPr>
      <w:r>
        <w:rPr>
          <w:rFonts w:hint="eastAsia" w:ascii="仿宋" w:hAnsi="仿宋"/>
          <w:sz w:val="24"/>
        </w:rPr>
        <w:t>注：</w:t>
      </w:r>
    </w:p>
    <w:p>
      <w:pPr>
        <w:spacing w:line="480" w:lineRule="exact"/>
        <w:rPr>
          <w:rFonts w:ascii="仿宋" w:hAnsi="仿宋" w:eastAsia="仿宋"/>
          <w:sz w:val="24"/>
        </w:rPr>
      </w:pPr>
      <w:r>
        <w:rPr>
          <w:rFonts w:hint="eastAsia" w:ascii="仿宋" w:hAnsi="仿宋"/>
          <w:sz w:val="24"/>
        </w:rPr>
        <w:t>1、投标报价为每台设备的总价，单位为人民币元；</w:t>
      </w:r>
    </w:p>
    <w:p>
      <w:pPr>
        <w:spacing w:line="480" w:lineRule="exact"/>
        <w:rPr>
          <w:rFonts w:hint="eastAsia" w:ascii="仿宋" w:hAnsi="仿宋"/>
          <w:sz w:val="24"/>
          <w:szCs w:val="22"/>
        </w:rPr>
      </w:pPr>
      <w:r>
        <w:rPr>
          <w:rFonts w:hint="eastAsia" w:ascii="仿宋" w:hAnsi="仿宋"/>
          <w:sz w:val="24"/>
          <w:szCs w:val="22"/>
        </w:rPr>
        <w:t>2、报价含货到验收合格并培训使用后的所有费用（至最终用户）；</w:t>
      </w:r>
    </w:p>
    <w:p>
      <w:pPr>
        <w:spacing w:line="480" w:lineRule="exact"/>
        <w:rPr>
          <w:rFonts w:hint="eastAsia" w:ascii="仿宋" w:hAnsi="仿宋"/>
          <w:sz w:val="24"/>
          <w:szCs w:val="22"/>
        </w:rPr>
      </w:pPr>
      <w:r>
        <w:rPr>
          <w:rFonts w:hint="eastAsia" w:ascii="仿宋" w:hAnsi="仿宋"/>
          <w:sz w:val="24"/>
          <w:szCs w:val="22"/>
        </w:rPr>
        <w:t>3、表格不够可按相同格式加以扩展或自行设计。</w:t>
      </w:r>
    </w:p>
    <w:p>
      <w:pPr>
        <w:spacing w:line="480" w:lineRule="exact"/>
        <w:rPr>
          <w:rFonts w:hint="default" w:ascii="仿宋" w:hAnsi="仿宋" w:eastAsia="宋体"/>
          <w:sz w:val="24"/>
          <w:szCs w:val="22"/>
          <w:lang w:val="en-US" w:eastAsia="zh-CN"/>
        </w:rPr>
      </w:pPr>
      <w:r>
        <w:rPr>
          <w:rFonts w:hint="eastAsia" w:ascii="仿宋" w:hAnsi="仿宋"/>
          <w:b/>
          <w:bCs/>
          <w:sz w:val="24"/>
          <w:szCs w:val="22"/>
          <w:lang w:val="en-US" w:eastAsia="zh-CN"/>
        </w:rPr>
        <w:t>4、</w:t>
      </w:r>
      <w:r>
        <w:rPr>
          <w:rFonts w:hint="eastAsia" w:ascii="仿宋" w:hAnsi="仿宋"/>
          <w:b/>
          <w:bCs/>
          <w:sz w:val="24"/>
          <w:szCs w:val="22"/>
        </w:rPr>
        <w:t>耗材、试剂、质控、校准品</w:t>
      </w:r>
      <w:r>
        <w:rPr>
          <w:rFonts w:hint="eastAsia" w:ascii="仿宋" w:hAnsi="仿宋"/>
          <w:b/>
          <w:bCs/>
          <w:sz w:val="24"/>
          <w:szCs w:val="22"/>
          <w:lang w:val="en-US" w:eastAsia="zh-CN"/>
        </w:rPr>
        <w:t>等的优惠报价。</w:t>
      </w:r>
    </w:p>
    <w:p>
      <w:pPr>
        <w:spacing w:line="480" w:lineRule="exact"/>
        <w:rPr>
          <w:rFonts w:ascii="仿宋" w:hAnsi="仿宋" w:eastAsia="仿宋"/>
          <w:sz w:val="24"/>
        </w:rPr>
      </w:pPr>
      <w:r>
        <w:rPr>
          <w:rFonts w:hint="eastAsia" w:ascii="仿宋" w:hAnsi="仿宋"/>
          <w:sz w:val="24"/>
        </w:rPr>
        <w:t>投标人：（公章）</w:t>
      </w:r>
    </w:p>
    <w:p>
      <w:pPr>
        <w:spacing w:line="480" w:lineRule="exact"/>
        <w:rPr>
          <w:rFonts w:ascii="仿宋" w:hAnsi="仿宋"/>
          <w:sz w:val="24"/>
        </w:rPr>
      </w:pPr>
      <w:r>
        <w:rPr>
          <w:rFonts w:hint="eastAsia" w:ascii="仿宋" w:hAnsi="仿宋"/>
          <w:sz w:val="24"/>
        </w:rPr>
        <w:t>法定代表人或投标人全权代表：（签字或印章）</w:t>
      </w:r>
    </w:p>
    <w:p>
      <w:pPr>
        <w:spacing w:line="480" w:lineRule="exact"/>
        <w:rPr>
          <w:rFonts w:ascii="仿宋" w:hAnsi="仿宋"/>
          <w:sz w:val="24"/>
        </w:rPr>
      </w:pPr>
    </w:p>
    <w:p>
      <w:pPr>
        <w:spacing w:line="480" w:lineRule="exact"/>
        <w:ind w:firstLine="7080" w:firstLineChars="2950"/>
        <w:rPr>
          <w:rFonts w:ascii="仿宋" w:hAnsi="仿宋" w:eastAsia="仿宋"/>
          <w:sz w:val="24"/>
        </w:rPr>
      </w:pPr>
      <w:r>
        <w:rPr>
          <w:rFonts w:hint="eastAsia" w:ascii="仿宋" w:hAnsi="仿宋"/>
          <w:sz w:val="24"/>
        </w:rPr>
        <w:t>年  月  日</w:t>
      </w:r>
    </w:p>
    <w:p>
      <w:pPr>
        <w:rPr>
          <w:rFonts w:ascii="宋体" w:hAnsi="宋体"/>
          <w:sz w:val="24"/>
        </w:rPr>
      </w:pPr>
    </w:p>
    <w:p>
      <w:pPr>
        <w:rPr>
          <w:rFonts w:ascii="宋体" w:hAnsi="宋体"/>
          <w:sz w:val="24"/>
        </w:rPr>
      </w:pPr>
    </w:p>
    <w:p>
      <w:pPr>
        <w:spacing w:line="480" w:lineRule="exact"/>
        <w:rPr>
          <w:rFonts w:ascii="宋体" w:hAnsi="宋体" w:cs="仿宋"/>
          <w:sz w:val="24"/>
          <w:szCs w:val="24"/>
        </w:rPr>
      </w:pPr>
    </w:p>
    <w:p>
      <w:pPr>
        <w:pStyle w:val="66"/>
        <w:ind w:firstLine="480"/>
        <w:rPr>
          <w:rFonts w:ascii="宋体" w:hAnsi="宋体" w:cs="仿宋"/>
          <w:sz w:val="24"/>
          <w:szCs w:val="24"/>
        </w:rPr>
      </w:pPr>
    </w:p>
    <w:p>
      <w:pPr>
        <w:pStyle w:val="66"/>
        <w:ind w:firstLine="480"/>
        <w:rPr>
          <w:rFonts w:ascii="宋体" w:hAnsi="宋体" w:cs="仿宋"/>
          <w:sz w:val="24"/>
          <w:szCs w:val="24"/>
        </w:rPr>
      </w:pPr>
    </w:p>
    <w:p>
      <w:pPr>
        <w:pStyle w:val="66"/>
        <w:ind w:firstLine="480"/>
        <w:rPr>
          <w:rFonts w:ascii="宋体" w:hAnsi="宋体" w:cs="仿宋"/>
          <w:sz w:val="24"/>
          <w:szCs w:val="24"/>
        </w:rPr>
      </w:pPr>
    </w:p>
    <w:p>
      <w:pPr>
        <w:spacing w:line="480" w:lineRule="exact"/>
        <w:rPr>
          <w:rFonts w:ascii="仿宋" w:hAnsi="仿宋"/>
          <w:b/>
          <w:sz w:val="32"/>
          <w:szCs w:val="32"/>
        </w:rPr>
      </w:pPr>
    </w:p>
    <w:p>
      <w:pPr>
        <w:spacing w:line="480" w:lineRule="exact"/>
        <w:ind w:firstLine="3196" w:firstLineChars="995"/>
        <w:rPr>
          <w:rFonts w:ascii="仿宋" w:hAnsi="仿宋" w:eastAsia="仿宋"/>
          <w:b/>
          <w:sz w:val="32"/>
          <w:szCs w:val="32"/>
        </w:rPr>
      </w:pPr>
      <w:r>
        <w:rPr>
          <w:rFonts w:hint="eastAsia" w:ascii="仿宋" w:hAnsi="仿宋"/>
          <w:b/>
          <w:sz w:val="32"/>
          <w:szCs w:val="32"/>
        </w:rPr>
        <w:t>报价明细表（    包）</w:t>
      </w:r>
    </w:p>
    <w:p>
      <w:pPr>
        <w:spacing w:line="480" w:lineRule="exact"/>
        <w:ind w:firstLine="205" w:firstLineChars="98"/>
        <w:rPr>
          <w:rFonts w:ascii="仿宋" w:hAnsi="仿宋" w:eastAsia="仿宋"/>
          <w:szCs w:val="21"/>
        </w:rPr>
      </w:pPr>
      <w:r>
        <w:rPr>
          <w:rFonts w:hint="eastAsia" w:ascii="仿宋" w:hAnsi="仿宋"/>
          <w:szCs w:val="21"/>
        </w:rPr>
        <w:t>项目名称：XXXXXXXXXXXX                                        年     月    日</w:t>
      </w:r>
    </w:p>
    <w:tbl>
      <w:tblPr>
        <w:tblStyle w:val="5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1"/>
        <w:gridCol w:w="1424"/>
        <w:gridCol w:w="1475"/>
        <w:gridCol w:w="1077"/>
        <w:gridCol w:w="124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r>
              <w:rPr>
                <w:rFonts w:hint="eastAsia" w:ascii="仿宋_GB2312" w:hAnsi="宋体"/>
                <w:sz w:val="24"/>
              </w:rPr>
              <w:t>序号</w:t>
            </w:r>
          </w:p>
        </w:tc>
        <w:tc>
          <w:tcPr>
            <w:tcW w:w="1621" w:type="dxa"/>
            <w:vAlign w:val="center"/>
          </w:tcPr>
          <w:p>
            <w:pPr>
              <w:spacing w:line="400" w:lineRule="exact"/>
              <w:jc w:val="center"/>
              <w:rPr>
                <w:rFonts w:ascii="仿宋_GB2312" w:hAnsi="宋体" w:eastAsia="仿宋_GB2312"/>
                <w:sz w:val="24"/>
              </w:rPr>
            </w:pPr>
            <w:r>
              <w:rPr>
                <w:rFonts w:hint="eastAsia" w:ascii="仿宋_GB2312" w:hAnsi="宋体"/>
                <w:sz w:val="24"/>
              </w:rPr>
              <w:t>名称</w:t>
            </w:r>
          </w:p>
        </w:tc>
        <w:tc>
          <w:tcPr>
            <w:tcW w:w="1424" w:type="dxa"/>
            <w:vAlign w:val="center"/>
          </w:tcPr>
          <w:p>
            <w:pPr>
              <w:spacing w:line="400" w:lineRule="exact"/>
              <w:jc w:val="center"/>
              <w:rPr>
                <w:rFonts w:ascii="仿宋_GB2312" w:hAnsi="宋体" w:eastAsia="仿宋_GB2312"/>
                <w:sz w:val="24"/>
              </w:rPr>
            </w:pPr>
            <w:r>
              <w:rPr>
                <w:rFonts w:hint="eastAsia" w:ascii="仿宋_GB2312" w:hAnsi="宋体"/>
                <w:sz w:val="24"/>
              </w:rPr>
              <w:t>品牌/型号</w:t>
            </w:r>
          </w:p>
        </w:tc>
        <w:tc>
          <w:tcPr>
            <w:tcW w:w="1475" w:type="dxa"/>
            <w:vAlign w:val="center"/>
          </w:tcPr>
          <w:p>
            <w:pPr>
              <w:spacing w:line="400" w:lineRule="exact"/>
              <w:jc w:val="center"/>
              <w:rPr>
                <w:rFonts w:ascii="仿宋_GB2312" w:hAnsi="宋体" w:eastAsia="仿宋_GB2312"/>
                <w:sz w:val="24"/>
              </w:rPr>
            </w:pPr>
            <w:r>
              <w:rPr>
                <w:rFonts w:hint="eastAsia" w:ascii="仿宋_GB2312" w:hAnsi="宋体"/>
                <w:sz w:val="24"/>
              </w:rPr>
              <w:t>厂家/产地</w:t>
            </w:r>
          </w:p>
        </w:tc>
        <w:tc>
          <w:tcPr>
            <w:tcW w:w="1077" w:type="dxa"/>
            <w:vAlign w:val="center"/>
          </w:tcPr>
          <w:p>
            <w:pPr>
              <w:spacing w:line="400" w:lineRule="exact"/>
              <w:jc w:val="center"/>
              <w:rPr>
                <w:rFonts w:ascii="仿宋_GB2312" w:hAnsi="宋体" w:eastAsia="仿宋_GB2312"/>
                <w:sz w:val="24"/>
              </w:rPr>
            </w:pPr>
            <w:r>
              <w:rPr>
                <w:rFonts w:hint="eastAsia" w:ascii="仿宋_GB2312" w:hAnsi="宋体"/>
                <w:sz w:val="24"/>
              </w:rPr>
              <w:t>数量</w:t>
            </w:r>
          </w:p>
        </w:tc>
        <w:tc>
          <w:tcPr>
            <w:tcW w:w="1241" w:type="dxa"/>
            <w:vAlign w:val="center"/>
          </w:tcPr>
          <w:p>
            <w:pPr>
              <w:spacing w:line="400" w:lineRule="exact"/>
              <w:jc w:val="center"/>
              <w:rPr>
                <w:rFonts w:ascii="仿宋_GB2312" w:hAnsi="宋体" w:eastAsia="仿宋_GB2312"/>
                <w:sz w:val="24"/>
              </w:rPr>
            </w:pPr>
            <w:r>
              <w:rPr>
                <w:rFonts w:hint="eastAsia" w:ascii="仿宋_GB2312" w:hAnsi="宋体"/>
                <w:sz w:val="24"/>
              </w:rPr>
              <w:t>单价（元）</w:t>
            </w:r>
          </w:p>
        </w:tc>
        <w:tc>
          <w:tcPr>
            <w:tcW w:w="1800" w:type="dxa"/>
            <w:vAlign w:val="center"/>
          </w:tcPr>
          <w:p>
            <w:pPr>
              <w:spacing w:line="400" w:lineRule="exact"/>
              <w:jc w:val="center"/>
              <w:rPr>
                <w:rFonts w:ascii="仿宋_GB2312" w:hAnsi="宋体" w:eastAsia="仿宋_GB2312"/>
                <w:sz w:val="24"/>
              </w:rPr>
            </w:pPr>
            <w:r>
              <w:rPr>
                <w:rFonts w:hint="eastAsia" w:ascii="仿宋_GB2312" w:hAnsi="宋体"/>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bl>
    <w:p>
      <w:pPr>
        <w:pStyle w:val="66"/>
        <w:ind w:firstLine="480"/>
        <w:rPr>
          <w:rFonts w:ascii="宋体" w:hAnsi="宋体" w:cs="仿宋"/>
          <w:sz w:val="24"/>
          <w:szCs w:val="24"/>
        </w:rPr>
      </w:pPr>
    </w:p>
    <w:p>
      <w:pPr>
        <w:pStyle w:val="66"/>
        <w:ind w:firstLine="480"/>
        <w:rPr>
          <w:rFonts w:ascii="宋体" w:hAnsi="宋体" w:cs="仿宋"/>
          <w:sz w:val="24"/>
          <w:szCs w:val="24"/>
        </w:rPr>
      </w:pPr>
    </w:p>
    <w:p>
      <w:pPr>
        <w:pStyle w:val="66"/>
        <w:ind w:firstLine="480"/>
        <w:rPr>
          <w:rFonts w:ascii="宋体" w:hAnsi="宋体" w:cs="仿宋"/>
          <w:sz w:val="24"/>
          <w:szCs w:val="24"/>
        </w:rPr>
      </w:pPr>
    </w:p>
    <w:p>
      <w:pPr>
        <w:pStyle w:val="66"/>
        <w:ind w:firstLine="480"/>
        <w:rPr>
          <w:rFonts w:ascii="宋体" w:hAnsi="宋体" w:cs="仿宋"/>
          <w:sz w:val="24"/>
          <w:szCs w:val="24"/>
        </w:rPr>
      </w:pPr>
    </w:p>
    <w:p>
      <w:pPr>
        <w:spacing w:line="480" w:lineRule="exact"/>
        <w:rPr>
          <w:rFonts w:ascii="仿宋" w:hAnsi="仿宋" w:eastAsia="仿宋"/>
          <w:sz w:val="24"/>
        </w:rPr>
      </w:pPr>
      <w:r>
        <w:rPr>
          <w:rFonts w:hint="eastAsia" w:ascii="仿宋" w:hAnsi="仿宋"/>
          <w:sz w:val="24"/>
        </w:rPr>
        <w:t>注：</w:t>
      </w:r>
    </w:p>
    <w:p>
      <w:pPr>
        <w:spacing w:line="480" w:lineRule="exact"/>
        <w:rPr>
          <w:rFonts w:ascii="仿宋" w:hAnsi="仿宋" w:eastAsia="仿宋"/>
          <w:sz w:val="24"/>
        </w:rPr>
      </w:pPr>
      <w:r>
        <w:rPr>
          <w:rFonts w:hint="eastAsia" w:ascii="仿宋" w:hAnsi="仿宋"/>
          <w:sz w:val="24"/>
        </w:rPr>
        <w:t>1、投标报价为每台设备的单价，单位为人民币元；</w:t>
      </w:r>
    </w:p>
    <w:p>
      <w:pPr>
        <w:spacing w:line="480" w:lineRule="exact"/>
        <w:rPr>
          <w:rFonts w:ascii="仿宋" w:hAnsi="仿宋" w:eastAsia="仿宋"/>
          <w:b/>
          <w:sz w:val="24"/>
        </w:rPr>
      </w:pPr>
      <w:r>
        <w:rPr>
          <w:rFonts w:hint="eastAsia" w:ascii="仿宋" w:hAnsi="仿宋"/>
          <w:sz w:val="24"/>
        </w:rPr>
        <w:t>2、</w:t>
      </w:r>
      <w:r>
        <w:rPr>
          <w:rFonts w:hint="eastAsia" w:ascii="仿宋" w:hAnsi="仿宋"/>
          <w:b/>
          <w:sz w:val="24"/>
        </w:rPr>
        <w:t>报价含货到验收合格并培训使用后的所有费用（至最终用户）；</w:t>
      </w:r>
    </w:p>
    <w:p>
      <w:pPr>
        <w:spacing w:line="480" w:lineRule="exact"/>
        <w:rPr>
          <w:rFonts w:ascii="仿宋" w:hAnsi="仿宋"/>
          <w:sz w:val="24"/>
        </w:rPr>
      </w:pPr>
      <w:r>
        <w:rPr>
          <w:rFonts w:hint="eastAsia" w:ascii="仿宋" w:hAnsi="仿宋"/>
          <w:sz w:val="24"/>
        </w:rPr>
        <w:t>3、表格不够可按相同格式加以扩展或自行设计。</w:t>
      </w:r>
    </w:p>
    <w:p>
      <w:pPr>
        <w:spacing w:line="480" w:lineRule="exact"/>
        <w:rPr>
          <w:rFonts w:ascii="仿宋" w:hAnsi="仿宋" w:eastAsia="仿宋"/>
          <w:sz w:val="24"/>
        </w:rPr>
      </w:pPr>
      <w:r>
        <w:rPr>
          <w:rFonts w:hint="eastAsia" w:ascii="仿宋" w:hAnsi="仿宋"/>
          <w:sz w:val="24"/>
        </w:rPr>
        <w:t>投标人：（公章）</w:t>
      </w:r>
    </w:p>
    <w:p>
      <w:pPr>
        <w:spacing w:line="480" w:lineRule="exact"/>
        <w:rPr>
          <w:rFonts w:ascii="仿宋" w:hAnsi="仿宋"/>
          <w:sz w:val="24"/>
        </w:rPr>
      </w:pPr>
      <w:r>
        <w:rPr>
          <w:rFonts w:hint="eastAsia" w:ascii="仿宋" w:hAnsi="仿宋"/>
          <w:sz w:val="24"/>
        </w:rPr>
        <w:t>法定代表人或投标人全权代表：（签字或印章）</w:t>
      </w:r>
    </w:p>
    <w:p>
      <w:pPr>
        <w:spacing w:line="480" w:lineRule="exact"/>
        <w:rPr>
          <w:rFonts w:ascii="仿宋" w:hAnsi="仿宋"/>
          <w:sz w:val="24"/>
        </w:rPr>
      </w:pPr>
    </w:p>
    <w:p>
      <w:pPr>
        <w:spacing w:line="480" w:lineRule="exact"/>
        <w:ind w:firstLine="7080" w:firstLineChars="2950"/>
        <w:rPr>
          <w:rFonts w:ascii="仿宋" w:hAnsi="仿宋" w:eastAsia="仿宋"/>
          <w:sz w:val="24"/>
        </w:rPr>
      </w:pPr>
      <w:r>
        <w:rPr>
          <w:rFonts w:hint="eastAsia" w:ascii="仿宋" w:hAnsi="仿宋"/>
          <w:sz w:val="24"/>
        </w:rPr>
        <w:t>年  月  日</w:t>
      </w:r>
    </w:p>
    <w:p>
      <w:pPr>
        <w:pStyle w:val="66"/>
        <w:ind w:firstLine="480"/>
        <w:rPr>
          <w:rFonts w:ascii="宋体" w:hAnsi="宋体" w:cs="仿宋"/>
          <w:sz w:val="24"/>
          <w:szCs w:val="24"/>
        </w:rPr>
      </w:pPr>
    </w:p>
    <w:p>
      <w:pPr>
        <w:pStyle w:val="66"/>
        <w:ind w:firstLine="480"/>
        <w:rPr>
          <w:rFonts w:ascii="宋体" w:hAnsi="宋体" w:cs="仿宋"/>
          <w:sz w:val="24"/>
          <w:szCs w:val="24"/>
        </w:rPr>
      </w:pPr>
    </w:p>
    <w:p>
      <w:pPr>
        <w:pStyle w:val="66"/>
        <w:ind w:firstLine="480"/>
        <w:rPr>
          <w:rFonts w:ascii="宋体" w:hAnsi="宋体" w:cs="仿宋"/>
          <w:sz w:val="24"/>
          <w:szCs w:val="24"/>
        </w:rPr>
      </w:pPr>
    </w:p>
    <w:p>
      <w:pPr>
        <w:pStyle w:val="66"/>
        <w:ind w:firstLine="480"/>
        <w:rPr>
          <w:rFonts w:ascii="宋体" w:hAnsi="宋体" w:cs="仿宋"/>
          <w:sz w:val="24"/>
          <w:szCs w:val="24"/>
        </w:rPr>
      </w:pPr>
    </w:p>
    <w:p>
      <w:pPr>
        <w:pStyle w:val="66"/>
        <w:ind w:firstLine="480"/>
        <w:rPr>
          <w:rFonts w:ascii="宋体" w:hAnsi="宋体" w:cs="仿宋"/>
          <w:sz w:val="24"/>
          <w:szCs w:val="24"/>
        </w:rPr>
      </w:pPr>
    </w:p>
    <w:p>
      <w:pPr>
        <w:pStyle w:val="66"/>
        <w:ind w:firstLine="480"/>
        <w:rPr>
          <w:rFonts w:ascii="宋体" w:hAnsi="宋体" w:cs="仿宋"/>
          <w:sz w:val="24"/>
          <w:szCs w:val="24"/>
        </w:rPr>
      </w:pPr>
    </w:p>
    <w:p>
      <w:pPr>
        <w:pStyle w:val="66"/>
        <w:ind w:firstLine="480"/>
        <w:rPr>
          <w:rFonts w:ascii="宋体" w:hAnsi="宋体" w:cs="仿宋"/>
          <w:sz w:val="24"/>
          <w:szCs w:val="24"/>
        </w:rPr>
      </w:pPr>
    </w:p>
    <w:p>
      <w:pPr>
        <w:pStyle w:val="66"/>
        <w:ind w:firstLine="480"/>
        <w:rPr>
          <w:rFonts w:ascii="宋体" w:hAnsi="宋体" w:cs="仿宋"/>
          <w:sz w:val="24"/>
          <w:szCs w:val="24"/>
        </w:rPr>
      </w:pPr>
    </w:p>
    <w:p>
      <w:pPr>
        <w:pStyle w:val="66"/>
        <w:ind w:firstLine="480"/>
        <w:rPr>
          <w:rFonts w:ascii="宋体" w:hAnsi="宋体" w:cs="仿宋"/>
          <w:sz w:val="24"/>
          <w:szCs w:val="24"/>
        </w:rPr>
      </w:pPr>
    </w:p>
    <w:p>
      <w:pPr>
        <w:pStyle w:val="66"/>
        <w:ind w:firstLine="480"/>
        <w:rPr>
          <w:rFonts w:ascii="宋体" w:hAnsi="宋体" w:cs="仿宋"/>
          <w:sz w:val="24"/>
          <w:szCs w:val="24"/>
        </w:rPr>
      </w:pPr>
    </w:p>
    <w:p>
      <w:pPr>
        <w:pStyle w:val="66"/>
        <w:ind w:firstLine="480"/>
        <w:rPr>
          <w:rFonts w:ascii="宋体" w:hAnsi="宋体" w:cs="仿宋"/>
          <w:sz w:val="24"/>
          <w:szCs w:val="24"/>
        </w:rPr>
      </w:pPr>
    </w:p>
    <w:p>
      <w:pPr>
        <w:pStyle w:val="66"/>
        <w:ind w:firstLine="480"/>
        <w:rPr>
          <w:rFonts w:ascii="宋体" w:hAnsi="宋体" w:cs="仿宋"/>
          <w:sz w:val="24"/>
          <w:szCs w:val="24"/>
        </w:rPr>
      </w:pPr>
    </w:p>
    <w:p>
      <w:pPr>
        <w:spacing w:before="100" w:beforeAutospacing="1" w:after="100" w:afterAutospacing="1" w:line="440" w:lineRule="exact"/>
        <w:jc w:val="center"/>
        <w:rPr>
          <w:rFonts w:ascii="宋体" w:hAnsi="宋体" w:cs="仿宋"/>
          <w:b/>
          <w:sz w:val="24"/>
          <w:szCs w:val="24"/>
        </w:rPr>
      </w:pPr>
      <w:r>
        <w:rPr>
          <w:rFonts w:hint="eastAsia" w:ascii="宋体" w:hAnsi="宋体" w:cs="仿宋"/>
          <w:b/>
          <w:sz w:val="24"/>
          <w:szCs w:val="24"/>
        </w:rPr>
        <w:t>供应商基本情况表</w:t>
      </w:r>
    </w:p>
    <w:tbl>
      <w:tblPr>
        <w:tblStyle w:val="5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60"/>
        <w:gridCol w:w="1768"/>
        <w:gridCol w:w="706"/>
        <w:gridCol w:w="1224"/>
        <w:gridCol w:w="355"/>
        <w:gridCol w:w="268"/>
        <w:gridCol w:w="779"/>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979" w:type="dxa"/>
            <w:gridSpan w:val="2"/>
            <w:vAlign w:val="center"/>
          </w:tcPr>
          <w:p>
            <w:pPr>
              <w:spacing w:line="440" w:lineRule="exact"/>
              <w:jc w:val="center"/>
              <w:rPr>
                <w:rFonts w:ascii="宋体" w:hAnsi="宋体" w:cs="仿宋"/>
                <w:sz w:val="24"/>
                <w:szCs w:val="24"/>
              </w:rPr>
            </w:pPr>
            <w:r>
              <w:rPr>
                <w:rFonts w:hint="eastAsia" w:ascii="宋体" w:hAnsi="宋体" w:cs="仿宋"/>
                <w:sz w:val="24"/>
                <w:szCs w:val="24"/>
              </w:rPr>
              <w:t>供应商名称</w:t>
            </w:r>
          </w:p>
        </w:tc>
        <w:tc>
          <w:tcPr>
            <w:tcW w:w="2474" w:type="dxa"/>
            <w:gridSpan w:val="2"/>
            <w:vAlign w:val="center"/>
          </w:tcPr>
          <w:p>
            <w:pPr>
              <w:spacing w:line="440" w:lineRule="exact"/>
              <w:jc w:val="center"/>
              <w:rPr>
                <w:rFonts w:ascii="宋体" w:hAnsi="宋体" w:cs="仿宋"/>
                <w:sz w:val="24"/>
                <w:szCs w:val="24"/>
              </w:rPr>
            </w:pPr>
          </w:p>
        </w:tc>
        <w:tc>
          <w:tcPr>
            <w:tcW w:w="1847" w:type="dxa"/>
            <w:gridSpan w:val="3"/>
            <w:vAlign w:val="center"/>
          </w:tcPr>
          <w:p>
            <w:pPr>
              <w:spacing w:line="440" w:lineRule="exact"/>
              <w:jc w:val="center"/>
              <w:rPr>
                <w:rFonts w:ascii="宋体" w:hAnsi="宋体" w:cs="仿宋"/>
                <w:sz w:val="24"/>
                <w:szCs w:val="24"/>
              </w:rPr>
            </w:pPr>
            <w:r>
              <w:rPr>
                <w:rFonts w:hint="eastAsia" w:ascii="宋体" w:hAnsi="宋体" w:cs="仿宋"/>
                <w:sz w:val="24"/>
                <w:szCs w:val="24"/>
              </w:rPr>
              <w:t>主要业务</w:t>
            </w:r>
          </w:p>
        </w:tc>
        <w:tc>
          <w:tcPr>
            <w:tcW w:w="2700" w:type="dxa"/>
            <w:gridSpan w:val="2"/>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注册资金</w:t>
            </w:r>
          </w:p>
        </w:tc>
        <w:tc>
          <w:tcPr>
            <w:tcW w:w="2474" w:type="dxa"/>
            <w:gridSpan w:val="2"/>
            <w:vAlign w:val="center"/>
          </w:tcPr>
          <w:p>
            <w:pPr>
              <w:spacing w:line="440" w:lineRule="exact"/>
              <w:jc w:val="center"/>
              <w:rPr>
                <w:rFonts w:ascii="宋体" w:hAnsi="宋体" w:cs="仿宋"/>
                <w:bCs/>
                <w:sz w:val="24"/>
                <w:szCs w:val="24"/>
              </w:rPr>
            </w:pPr>
          </w:p>
        </w:tc>
        <w:tc>
          <w:tcPr>
            <w:tcW w:w="1847" w:type="dxa"/>
            <w:gridSpan w:val="3"/>
            <w:vAlign w:val="center"/>
          </w:tcPr>
          <w:p>
            <w:pPr>
              <w:spacing w:line="440" w:lineRule="exact"/>
              <w:jc w:val="center"/>
              <w:rPr>
                <w:rFonts w:ascii="宋体" w:hAnsi="宋体" w:cs="仿宋"/>
                <w:bCs/>
                <w:sz w:val="24"/>
                <w:szCs w:val="24"/>
              </w:rPr>
            </w:pPr>
            <w:r>
              <w:rPr>
                <w:rFonts w:hint="eastAsia" w:ascii="宋体" w:hAnsi="宋体" w:cs="仿宋"/>
                <w:bCs/>
                <w:sz w:val="24"/>
                <w:szCs w:val="24"/>
              </w:rPr>
              <w:t>现有职工人数</w:t>
            </w:r>
          </w:p>
        </w:tc>
        <w:tc>
          <w:tcPr>
            <w:tcW w:w="2700" w:type="dxa"/>
            <w:gridSpan w:val="2"/>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sz w:val="24"/>
                <w:szCs w:val="24"/>
              </w:rPr>
              <w:t>行政管理人数</w:t>
            </w:r>
          </w:p>
        </w:tc>
        <w:tc>
          <w:tcPr>
            <w:tcW w:w="2474" w:type="dxa"/>
            <w:gridSpan w:val="2"/>
            <w:vAlign w:val="center"/>
          </w:tcPr>
          <w:p>
            <w:pPr>
              <w:spacing w:line="440" w:lineRule="exact"/>
              <w:jc w:val="center"/>
              <w:rPr>
                <w:rFonts w:ascii="宋体" w:hAnsi="宋体" w:cs="仿宋"/>
                <w:bCs/>
                <w:sz w:val="24"/>
                <w:szCs w:val="24"/>
              </w:rPr>
            </w:pPr>
          </w:p>
        </w:tc>
        <w:tc>
          <w:tcPr>
            <w:tcW w:w="1847" w:type="dxa"/>
            <w:gridSpan w:val="3"/>
            <w:vAlign w:val="center"/>
          </w:tcPr>
          <w:p>
            <w:pPr>
              <w:spacing w:line="440" w:lineRule="exact"/>
              <w:jc w:val="center"/>
              <w:rPr>
                <w:rFonts w:ascii="宋体" w:hAnsi="宋体" w:cs="仿宋"/>
                <w:bCs/>
                <w:sz w:val="24"/>
                <w:szCs w:val="24"/>
              </w:rPr>
            </w:pPr>
            <w:r>
              <w:rPr>
                <w:rFonts w:hint="eastAsia" w:ascii="宋体" w:hAnsi="宋体" w:cs="仿宋"/>
                <w:bCs/>
                <w:sz w:val="24"/>
                <w:szCs w:val="24"/>
              </w:rPr>
              <w:t>技术人员人数</w:t>
            </w:r>
          </w:p>
        </w:tc>
        <w:tc>
          <w:tcPr>
            <w:tcW w:w="2700" w:type="dxa"/>
            <w:gridSpan w:val="2"/>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营业执照</w:t>
            </w:r>
          </w:p>
        </w:tc>
        <w:tc>
          <w:tcPr>
            <w:tcW w:w="7021" w:type="dxa"/>
            <w:gridSpan w:val="7"/>
            <w:vAlign w:val="center"/>
          </w:tcPr>
          <w:p>
            <w:pPr>
              <w:spacing w:line="440" w:lineRule="exact"/>
              <w:jc w:val="center"/>
              <w:rPr>
                <w:rFonts w:ascii="宋体" w:hAnsi="宋体" w:cs="仿宋"/>
                <w:bCs/>
                <w:sz w:val="24"/>
                <w:szCs w:val="24"/>
              </w:rPr>
            </w:pPr>
            <w:r>
              <w:rPr>
                <w:rFonts w:hint="eastAsia" w:ascii="宋体" w:hAnsi="宋体" w:cs="仿宋"/>
                <w:bCs/>
                <w:sz w:val="24"/>
                <w:szCs w:val="24"/>
              </w:rPr>
              <w:t>1.执照编号   2.营业范围   3.发照部门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单位资质</w:t>
            </w:r>
          </w:p>
        </w:tc>
        <w:tc>
          <w:tcPr>
            <w:tcW w:w="7021" w:type="dxa"/>
            <w:gridSpan w:val="7"/>
            <w:vAlign w:val="center"/>
          </w:tcPr>
          <w:p>
            <w:pPr>
              <w:spacing w:line="440" w:lineRule="exact"/>
              <w:jc w:val="center"/>
              <w:rPr>
                <w:rFonts w:ascii="宋体" w:hAnsi="宋体" w:cs="仿宋"/>
                <w:bCs/>
                <w:sz w:val="24"/>
                <w:szCs w:val="24"/>
              </w:rPr>
            </w:pPr>
            <w:r>
              <w:rPr>
                <w:rFonts w:hint="eastAsia" w:ascii="宋体" w:hAnsi="宋体" w:cs="仿宋"/>
                <w:bCs/>
                <w:sz w:val="24"/>
                <w:szCs w:val="24"/>
              </w:rPr>
              <w:t>1.执照编号   2.资质等级   3.发证部门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单位注册地址</w:t>
            </w:r>
          </w:p>
        </w:tc>
        <w:tc>
          <w:tcPr>
            <w:tcW w:w="2474" w:type="dxa"/>
            <w:gridSpan w:val="2"/>
            <w:vAlign w:val="center"/>
          </w:tcPr>
          <w:p>
            <w:pPr>
              <w:spacing w:line="440" w:lineRule="exact"/>
              <w:jc w:val="center"/>
              <w:rPr>
                <w:rFonts w:ascii="宋体" w:hAnsi="宋体" w:cs="仿宋"/>
                <w:bCs/>
                <w:sz w:val="24"/>
                <w:szCs w:val="24"/>
              </w:rPr>
            </w:pPr>
          </w:p>
        </w:tc>
        <w:tc>
          <w:tcPr>
            <w:tcW w:w="15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单位联系人、联系方式</w:t>
            </w:r>
          </w:p>
        </w:tc>
        <w:tc>
          <w:tcPr>
            <w:tcW w:w="2968" w:type="dxa"/>
            <w:gridSpan w:val="3"/>
            <w:vAlign w:val="center"/>
          </w:tcPr>
          <w:p>
            <w:pPr>
              <w:spacing w:line="440" w:lineRule="exact"/>
              <w:jc w:val="center"/>
              <w:rPr>
                <w:rFonts w:ascii="宋体" w:hAnsi="宋体" w:cs="仿宋"/>
                <w:bCs/>
                <w:sz w:val="24"/>
                <w:szCs w:val="24"/>
              </w:rPr>
            </w:pPr>
            <w:r>
              <w:rPr>
                <w:rFonts w:hint="eastAsia" w:ascii="宋体" w:hAnsi="宋体" w:cs="仿宋"/>
                <w:bCs/>
                <w:sz w:val="24"/>
                <w:szCs w:val="24"/>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单位成立时间</w:t>
            </w:r>
          </w:p>
        </w:tc>
        <w:tc>
          <w:tcPr>
            <w:tcW w:w="7021" w:type="dxa"/>
            <w:gridSpan w:val="7"/>
            <w:vAlign w:val="center"/>
          </w:tcPr>
          <w:p>
            <w:pPr>
              <w:spacing w:line="440" w:lineRule="exact"/>
              <w:jc w:val="center"/>
              <w:rPr>
                <w:rFonts w:ascii="宋体" w:hAnsi="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开户银行</w:t>
            </w:r>
          </w:p>
        </w:tc>
        <w:tc>
          <w:tcPr>
            <w:tcW w:w="7021" w:type="dxa"/>
            <w:gridSpan w:val="7"/>
            <w:vAlign w:val="center"/>
          </w:tcPr>
          <w:p>
            <w:pPr>
              <w:spacing w:line="440" w:lineRule="exact"/>
              <w:jc w:val="center"/>
              <w:rPr>
                <w:rFonts w:ascii="宋体" w:hAnsi="宋体" w:cs="仿宋"/>
                <w:sz w:val="24"/>
                <w:szCs w:val="24"/>
              </w:rPr>
            </w:pPr>
            <w:r>
              <w:rPr>
                <w:rFonts w:hint="eastAsia" w:ascii="宋体" w:hAnsi="宋体" w:cs="仿宋"/>
                <w:bCs/>
                <w:sz w:val="24"/>
                <w:szCs w:val="24"/>
              </w:rPr>
              <w:t>开户行、开户名称、银行帐号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9000" w:type="dxa"/>
            <w:gridSpan w:val="9"/>
            <w:vAlign w:val="center"/>
          </w:tcPr>
          <w:p>
            <w:pPr>
              <w:spacing w:line="440" w:lineRule="exact"/>
              <w:jc w:val="center"/>
              <w:rPr>
                <w:rFonts w:ascii="宋体" w:hAnsi="宋体" w:cs="仿宋"/>
                <w:sz w:val="24"/>
                <w:szCs w:val="24"/>
              </w:rPr>
            </w:pPr>
            <w:r>
              <w:rPr>
                <w:rFonts w:hint="eastAsia" w:ascii="宋体" w:hAnsi="宋体" w:cs="仿宋"/>
                <w:sz w:val="24"/>
                <w:szCs w:val="24"/>
              </w:rPr>
              <w:t>固定经营场所或售后服务机构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819" w:type="dxa"/>
            <w:vAlign w:val="center"/>
          </w:tcPr>
          <w:p>
            <w:pPr>
              <w:spacing w:line="440" w:lineRule="exact"/>
              <w:jc w:val="center"/>
              <w:rPr>
                <w:rFonts w:ascii="宋体" w:hAnsi="宋体" w:cs="仿宋"/>
                <w:bCs/>
                <w:sz w:val="24"/>
                <w:szCs w:val="24"/>
              </w:rPr>
            </w:pPr>
            <w:r>
              <w:rPr>
                <w:rFonts w:hint="eastAsia" w:ascii="宋体" w:hAnsi="宋体" w:cs="仿宋"/>
                <w:bCs/>
                <w:sz w:val="24"/>
                <w:szCs w:val="24"/>
              </w:rPr>
              <w:t>机构名称</w:t>
            </w:r>
          </w:p>
        </w:tc>
        <w:tc>
          <w:tcPr>
            <w:tcW w:w="1928"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注册地址</w:t>
            </w:r>
          </w:p>
        </w:tc>
        <w:tc>
          <w:tcPr>
            <w:tcW w:w="1930"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联系人</w:t>
            </w:r>
          </w:p>
        </w:tc>
        <w:tc>
          <w:tcPr>
            <w:tcW w:w="1402" w:type="dxa"/>
            <w:gridSpan w:val="3"/>
            <w:vAlign w:val="center"/>
          </w:tcPr>
          <w:p>
            <w:pPr>
              <w:spacing w:line="440" w:lineRule="exact"/>
              <w:jc w:val="center"/>
              <w:rPr>
                <w:rFonts w:ascii="宋体" w:hAnsi="宋体" w:cs="仿宋"/>
                <w:bCs/>
                <w:sz w:val="24"/>
                <w:szCs w:val="24"/>
              </w:rPr>
            </w:pPr>
            <w:r>
              <w:rPr>
                <w:rFonts w:hint="eastAsia" w:ascii="宋体" w:hAnsi="宋体" w:cs="仿宋"/>
                <w:bCs/>
                <w:sz w:val="24"/>
                <w:szCs w:val="24"/>
              </w:rPr>
              <w:t>联络方式</w:t>
            </w:r>
          </w:p>
        </w:tc>
        <w:tc>
          <w:tcPr>
            <w:tcW w:w="1921" w:type="dxa"/>
            <w:vAlign w:val="center"/>
          </w:tcPr>
          <w:p>
            <w:pPr>
              <w:spacing w:line="440" w:lineRule="exact"/>
              <w:jc w:val="center"/>
              <w:rPr>
                <w:rFonts w:ascii="宋体" w:hAnsi="宋体" w:cs="仿宋"/>
                <w:bCs/>
                <w:sz w:val="24"/>
                <w:szCs w:val="24"/>
              </w:rPr>
            </w:pPr>
            <w:r>
              <w:rPr>
                <w:rFonts w:hint="eastAsia" w:ascii="宋体" w:hAnsi="宋体" w:cs="仿宋"/>
                <w:bCs/>
                <w:sz w:val="24"/>
                <w:szCs w:val="24"/>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819" w:type="dxa"/>
            <w:vAlign w:val="center"/>
          </w:tcPr>
          <w:p>
            <w:pPr>
              <w:spacing w:line="440" w:lineRule="exact"/>
              <w:jc w:val="center"/>
              <w:rPr>
                <w:rFonts w:ascii="宋体" w:hAnsi="宋体" w:cs="仿宋"/>
                <w:sz w:val="24"/>
                <w:szCs w:val="24"/>
              </w:rPr>
            </w:pPr>
          </w:p>
        </w:tc>
        <w:tc>
          <w:tcPr>
            <w:tcW w:w="1928" w:type="dxa"/>
            <w:gridSpan w:val="2"/>
            <w:vAlign w:val="center"/>
          </w:tcPr>
          <w:p>
            <w:pPr>
              <w:spacing w:line="440" w:lineRule="exact"/>
              <w:jc w:val="center"/>
              <w:rPr>
                <w:rFonts w:ascii="宋体" w:hAnsi="宋体" w:cs="仿宋"/>
                <w:sz w:val="24"/>
                <w:szCs w:val="24"/>
              </w:rPr>
            </w:pPr>
          </w:p>
        </w:tc>
        <w:tc>
          <w:tcPr>
            <w:tcW w:w="1930" w:type="dxa"/>
            <w:gridSpan w:val="2"/>
            <w:vAlign w:val="center"/>
          </w:tcPr>
          <w:p>
            <w:pPr>
              <w:spacing w:line="440" w:lineRule="exact"/>
              <w:jc w:val="center"/>
              <w:rPr>
                <w:rFonts w:ascii="宋体" w:hAnsi="宋体" w:cs="仿宋"/>
                <w:sz w:val="24"/>
                <w:szCs w:val="24"/>
              </w:rPr>
            </w:pPr>
          </w:p>
        </w:tc>
        <w:tc>
          <w:tcPr>
            <w:tcW w:w="1402" w:type="dxa"/>
            <w:gridSpan w:val="3"/>
            <w:vAlign w:val="center"/>
          </w:tcPr>
          <w:p>
            <w:pPr>
              <w:spacing w:line="440" w:lineRule="exact"/>
              <w:jc w:val="center"/>
              <w:rPr>
                <w:rFonts w:ascii="宋体" w:hAnsi="宋体" w:cs="仿宋"/>
                <w:sz w:val="24"/>
                <w:szCs w:val="24"/>
              </w:rPr>
            </w:pPr>
          </w:p>
        </w:tc>
        <w:tc>
          <w:tcPr>
            <w:tcW w:w="1921" w:type="dxa"/>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819" w:type="dxa"/>
            <w:vAlign w:val="center"/>
          </w:tcPr>
          <w:p>
            <w:pPr>
              <w:spacing w:line="440" w:lineRule="exact"/>
              <w:jc w:val="center"/>
              <w:rPr>
                <w:rFonts w:ascii="宋体" w:hAnsi="宋体" w:cs="仿宋"/>
                <w:sz w:val="24"/>
                <w:szCs w:val="24"/>
              </w:rPr>
            </w:pPr>
          </w:p>
        </w:tc>
        <w:tc>
          <w:tcPr>
            <w:tcW w:w="1928" w:type="dxa"/>
            <w:gridSpan w:val="2"/>
            <w:vAlign w:val="center"/>
          </w:tcPr>
          <w:p>
            <w:pPr>
              <w:spacing w:line="440" w:lineRule="exact"/>
              <w:jc w:val="center"/>
              <w:rPr>
                <w:rFonts w:ascii="宋体" w:hAnsi="宋体" w:cs="仿宋"/>
                <w:sz w:val="24"/>
                <w:szCs w:val="24"/>
              </w:rPr>
            </w:pPr>
          </w:p>
        </w:tc>
        <w:tc>
          <w:tcPr>
            <w:tcW w:w="1930" w:type="dxa"/>
            <w:gridSpan w:val="2"/>
            <w:vAlign w:val="center"/>
          </w:tcPr>
          <w:p>
            <w:pPr>
              <w:spacing w:line="440" w:lineRule="exact"/>
              <w:jc w:val="center"/>
              <w:rPr>
                <w:rFonts w:ascii="宋体" w:hAnsi="宋体" w:cs="仿宋"/>
                <w:sz w:val="24"/>
                <w:szCs w:val="24"/>
              </w:rPr>
            </w:pPr>
          </w:p>
        </w:tc>
        <w:tc>
          <w:tcPr>
            <w:tcW w:w="1402" w:type="dxa"/>
            <w:gridSpan w:val="3"/>
            <w:vAlign w:val="center"/>
          </w:tcPr>
          <w:p>
            <w:pPr>
              <w:spacing w:line="440" w:lineRule="exact"/>
              <w:jc w:val="center"/>
              <w:rPr>
                <w:rFonts w:ascii="宋体" w:hAnsi="宋体" w:cs="仿宋"/>
                <w:sz w:val="24"/>
                <w:szCs w:val="24"/>
              </w:rPr>
            </w:pPr>
          </w:p>
        </w:tc>
        <w:tc>
          <w:tcPr>
            <w:tcW w:w="1921" w:type="dxa"/>
            <w:vAlign w:val="center"/>
          </w:tcPr>
          <w:p>
            <w:pPr>
              <w:spacing w:line="440" w:lineRule="exact"/>
              <w:jc w:val="center"/>
              <w:rPr>
                <w:rFonts w:ascii="宋体" w:hAnsi="宋体" w:cs="仿宋"/>
                <w:sz w:val="24"/>
                <w:szCs w:val="24"/>
              </w:rPr>
            </w:pPr>
          </w:p>
        </w:tc>
      </w:tr>
    </w:tbl>
    <w:p>
      <w:pPr>
        <w:spacing w:line="440" w:lineRule="exact"/>
        <w:rPr>
          <w:rFonts w:ascii="宋体" w:hAnsi="宋体" w:cs="仿宋"/>
          <w:sz w:val="24"/>
          <w:szCs w:val="24"/>
        </w:rPr>
      </w:pPr>
    </w:p>
    <w:p>
      <w:pPr>
        <w:spacing w:line="440" w:lineRule="exact"/>
        <w:ind w:firstLine="240" w:firstLineChars="100"/>
        <w:rPr>
          <w:rFonts w:ascii="宋体" w:hAnsi="宋体" w:cs="仿宋"/>
          <w:sz w:val="24"/>
          <w:szCs w:val="24"/>
        </w:rPr>
      </w:pPr>
      <w:r>
        <w:rPr>
          <w:rFonts w:hint="eastAsia" w:ascii="宋体" w:hAnsi="宋体" w:cs="仿宋"/>
          <w:sz w:val="24"/>
          <w:szCs w:val="24"/>
        </w:rPr>
        <w:t>供应商 （公章）：</w:t>
      </w:r>
    </w:p>
    <w:p>
      <w:pPr>
        <w:spacing w:line="440" w:lineRule="exact"/>
        <w:ind w:firstLine="240" w:firstLineChars="100"/>
        <w:rPr>
          <w:rFonts w:ascii="宋体" w:hAnsi="宋体" w:cs="仿宋"/>
          <w:sz w:val="24"/>
          <w:szCs w:val="24"/>
        </w:rPr>
      </w:pPr>
      <w:r>
        <w:rPr>
          <w:rFonts w:hint="eastAsia" w:ascii="宋体" w:hAnsi="宋体" w:cs="仿宋"/>
          <w:sz w:val="24"/>
          <w:szCs w:val="24"/>
        </w:rPr>
        <w:t>法定代表人或供应商全权代表：（签字或印章）</w:t>
      </w:r>
    </w:p>
    <w:p>
      <w:pPr>
        <w:spacing w:line="440" w:lineRule="exact"/>
        <w:rPr>
          <w:rFonts w:ascii="宋体" w:hAnsi="宋体" w:cs="仿宋"/>
          <w:sz w:val="24"/>
          <w:szCs w:val="24"/>
        </w:rPr>
      </w:pPr>
    </w:p>
    <w:p>
      <w:pPr>
        <w:spacing w:line="440" w:lineRule="exact"/>
        <w:ind w:firstLine="6720" w:firstLineChars="2800"/>
        <w:rPr>
          <w:rFonts w:ascii="宋体" w:hAnsi="宋体" w:cs="仿宋"/>
          <w:sz w:val="24"/>
          <w:szCs w:val="24"/>
        </w:rPr>
      </w:pPr>
    </w:p>
    <w:p>
      <w:pPr>
        <w:spacing w:line="440" w:lineRule="exact"/>
        <w:jc w:val="right"/>
        <w:rPr>
          <w:rFonts w:ascii="宋体" w:hAnsi="宋体" w:cs="仿宋"/>
          <w:sz w:val="24"/>
          <w:szCs w:val="24"/>
        </w:rPr>
      </w:pPr>
      <w:r>
        <w:rPr>
          <w:rFonts w:hint="eastAsia" w:ascii="宋体" w:hAnsi="宋体" w:cs="仿宋"/>
          <w:sz w:val="24"/>
          <w:szCs w:val="24"/>
        </w:rPr>
        <w:t xml:space="preserve"> 年   月   日</w:t>
      </w:r>
    </w:p>
    <w:p>
      <w:pPr>
        <w:topLinePunct/>
        <w:spacing w:line="480" w:lineRule="exact"/>
        <w:rPr>
          <w:rFonts w:ascii="宋体" w:hAnsi="宋体" w:cs="仿宋"/>
          <w:sz w:val="24"/>
          <w:szCs w:val="24"/>
        </w:rPr>
      </w:pPr>
    </w:p>
    <w:p>
      <w:pPr>
        <w:topLinePunct/>
        <w:spacing w:line="480" w:lineRule="exact"/>
        <w:rPr>
          <w:rFonts w:ascii="宋体" w:hAnsi="宋体" w:cs="仿宋"/>
          <w:sz w:val="24"/>
          <w:szCs w:val="24"/>
        </w:rPr>
      </w:pPr>
    </w:p>
    <w:p>
      <w:pPr>
        <w:spacing w:line="480" w:lineRule="exact"/>
        <w:jc w:val="center"/>
        <w:rPr>
          <w:rFonts w:ascii="宋体" w:hAnsi="宋体" w:cs="仿宋"/>
          <w:b/>
          <w:sz w:val="24"/>
          <w:szCs w:val="24"/>
        </w:rPr>
      </w:pPr>
      <w:r>
        <w:rPr>
          <w:rFonts w:hint="eastAsia" w:ascii="宋体" w:hAnsi="宋体" w:cs="仿宋"/>
          <w:b/>
          <w:sz w:val="24"/>
          <w:szCs w:val="24"/>
        </w:rPr>
        <w:t>商务条款偏离表</w:t>
      </w:r>
    </w:p>
    <w:p>
      <w:pPr>
        <w:spacing w:line="480" w:lineRule="exact"/>
        <w:jc w:val="center"/>
        <w:rPr>
          <w:rFonts w:ascii="宋体" w:hAnsi="宋体" w:cs="仿宋"/>
          <w:b/>
          <w:sz w:val="24"/>
          <w:szCs w:val="24"/>
        </w:rPr>
      </w:pPr>
    </w:p>
    <w:tbl>
      <w:tblPr>
        <w:tblStyle w:val="56"/>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80"/>
        <w:gridCol w:w="2444"/>
        <w:gridCol w:w="1241"/>
        <w:gridCol w:w="234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832" w:type="dxa"/>
            <w:vMerge w:val="restart"/>
            <w:vAlign w:val="center"/>
          </w:tcPr>
          <w:p>
            <w:pPr>
              <w:spacing w:line="480" w:lineRule="exact"/>
              <w:jc w:val="center"/>
              <w:rPr>
                <w:rFonts w:ascii="宋体" w:hAnsi="宋体" w:cs="仿宋"/>
                <w:sz w:val="24"/>
                <w:szCs w:val="24"/>
              </w:rPr>
            </w:pPr>
            <w:r>
              <w:rPr>
                <w:rFonts w:hint="eastAsia" w:ascii="宋体" w:hAnsi="宋体" w:cs="仿宋"/>
                <w:sz w:val="24"/>
                <w:szCs w:val="24"/>
              </w:rPr>
              <w:t>序号</w:t>
            </w:r>
          </w:p>
        </w:tc>
        <w:tc>
          <w:tcPr>
            <w:tcW w:w="3624" w:type="dxa"/>
            <w:gridSpan w:val="2"/>
            <w:vAlign w:val="center"/>
          </w:tcPr>
          <w:p>
            <w:pPr>
              <w:spacing w:line="480" w:lineRule="exact"/>
              <w:jc w:val="center"/>
              <w:rPr>
                <w:rFonts w:ascii="宋体" w:hAnsi="宋体" w:cs="仿宋"/>
                <w:sz w:val="24"/>
                <w:szCs w:val="24"/>
              </w:rPr>
            </w:pPr>
            <w:r>
              <w:rPr>
                <w:rFonts w:hint="eastAsia" w:ascii="宋体" w:hAnsi="宋体" w:cs="仿宋"/>
                <w:sz w:val="24"/>
                <w:szCs w:val="24"/>
              </w:rPr>
              <w:t>招标文件</w:t>
            </w:r>
          </w:p>
        </w:tc>
        <w:tc>
          <w:tcPr>
            <w:tcW w:w="3582" w:type="dxa"/>
            <w:gridSpan w:val="2"/>
            <w:vAlign w:val="center"/>
          </w:tcPr>
          <w:p>
            <w:pPr>
              <w:spacing w:line="480" w:lineRule="exact"/>
              <w:jc w:val="center"/>
              <w:rPr>
                <w:rFonts w:ascii="宋体" w:hAnsi="宋体" w:cs="仿宋"/>
                <w:sz w:val="24"/>
                <w:szCs w:val="24"/>
              </w:rPr>
            </w:pPr>
            <w:r>
              <w:rPr>
                <w:rFonts w:hint="eastAsia" w:ascii="宋体" w:hAnsi="宋体" w:cs="仿宋"/>
                <w:sz w:val="24"/>
                <w:szCs w:val="24"/>
              </w:rPr>
              <w:t>响应文件</w:t>
            </w:r>
          </w:p>
        </w:tc>
        <w:tc>
          <w:tcPr>
            <w:tcW w:w="981" w:type="dxa"/>
            <w:vMerge w:val="restart"/>
            <w:vAlign w:val="center"/>
          </w:tcPr>
          <w:p>
            <w:pPr>
              <w:spacing w:line="480" w:lineRule="exact"/>
              <w:jc w:val="center"/>
              <w:rPr>
                <w:rFonts w:ascii="宋体" w:hAnsi="宋体" w:cs="仿宋"/>
                <w:sz w:val="24"/>
                <w:szCs w:val="24"/>
              </w:rPr>
            </w:pPr>
            <w:r>
              <w:rPr>
                <w:rFonts w:hint="eastAsia" w:ascii="宋体" w:hAnsi="宋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832" w:type="dxa"/>
            <w:vMerge w:val="continue"/>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r>
              <w:rPr>
                <w:rFonts w:hint="eastAsia" w:ascii="宋体" w:hAnsi="宋体" w:cs="仿宋"/>
                <w:sz w:val="24"/>
                <w:szCs w:val="24"/>
              </w:rPr>
              <w:t>条款号</w:t>
            </w:r>
          </w:p>
        </w:tc>
        <w:tc>
          <w:tcPr>
            <w:tcW w:w="2444" w:type="dxa"/>
            <w:vAlign w:val="center"/>
          </w:tcPr>
          <w:p>
            <w:pPr>
              <w:spacing w:line="480" w:lineRule="exact"/>
              <w:jc w:val="center"/>
              <w:rPr>
                <w:rFonts w:ascii="宋体" w:hAnsi="宋体" w:cs="仿宋"/>
                <w:sz w:val="24"/>
                <w:szCs w:val="24"/>
              </w:rPr>
            </w:pPr>
            <w:r>
              <w:rPr>
                <w:rFonts w:hint="eastAsia" w:ascii="宋体" w:hAnsi="宋体" w:cs="仿宋"/>
                <w:sz w:val="24"/>
                <w:szCs w:val="24"/>
              </w:rPr>
              <w:t>条款内容</w:t>
            </w:r>
          </w:p>
        </w:tc>
        <w:tc>
          <w:tcPr>
            <w:tcW w:w="1241" w:type="dxa"/>
            <w:vAlign w:val="center"/>
          </w:tcPr>
          <w:p>
            <w:pPr>
              <w:spacing w:line="480" w:lineRule="exact"/>
              <w:jc w:val="center"/>
              <w:rPr>
                <w:rFonts w:ascii="宋体" w:hAnsi="宋体" w:cs="仿宋"/>
                <w:sz w:val="24"/>
                <w:szCs w:val="24"/>
              </w:rPr>
            </w:pPr>
            <w:r>
              <w:rPr>
                <w:rFonts w:hint="eastAsia" w:ascii="宋体" w:hAnsi="宋体" w:cs="仿宋"/>
                <w:sz w:val="24"/>
                <w:szCs w:val="24"/>
              </w:rPr>
              <w:t>条款号</w:t>
            </w:r>
          </w:p>
        </w:tc>
        <w:tc>
          <w:tcPr>
            <w:tcW w:w="2341" w:type="dxa"/>
            <w:vAlign w:val="center"/>
          </w:tcPr>
          <w:p>
            <w:pPr>
              <w:spacing w:line="480" w:lineRule="exact"/>
              <w:jc w:val="center"/>
              <w:rPr>
                <w:rFonts w:ascii="宋体" w:hAnsi="宋体" w:cs="仿宋"/>
                <w:sz w:val="24"/>
                <w:szCs w:val="24"/>
              </w:rPr>
            </w:pPr>
            <w:r>
              <w:rPr>
                <w:rFonts w:hint="eastAsia" w:ascii="宋体" w:hAnsi="宋体" w:cs="仿宋"/>
                <w:sz w:val="24"/>
                <w:szCs w:val="24"/>
              </w:rPr>
              <w:t>条款内容</w:t>
            </w:r>
          </w:p>
        </w:tc>
        <w:tc>
          <w:tcPr>
            <w:tcW w:w="981" w:type="dxa"/>
            <w:vMerge w:val="continue"/>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bl>
    <w:p>
      <w:pPr>
        <w:spacing w:line="480" w:lineRule="exact"/>
        <w:rPr>
          <w:rFonts w:ascii="宋体" w:hAnsi="宋体" w:cs="仿宋"/>
          <w:sz w:val="24"/>
          <w:szCs w:val="24"/>
        </w:rPr>
      </w:pPr>
    </w:p>
    <w:p>
      <w:pPr>
        <w:spacing w:line="480" w:lineRule="exact"/>
        <w:ind w:firstLine="120" w:firstLineChars="50"/>
        <w:rPr>
          <w:rFonts w:ascii="宋体" w:hAnsi="宋体" w:cs="仿宋"/>
          <w:sz w:val="24"/>
          <w:szCs w:val="24"/>
        </w:rPr>
      </w:pPr>
      <w:r>
        <w:rPr>
          <w:rFonts w:hint="eastAsia" w:ascii="宋体" w:hAnsi="宋体" w:cs="仿宋"/>
          <w:sz w:val="24"/>
          <w:szCs w:val="24"/>
        </w:rPr>
        <w:t>供应商 （公章）：</w:t>
      </w:r>
    </w:p>
    <w:p>
      <w:pPr>
        <w:spacing w:line="480" w:lineRule="exact"/>
        <w:ind w:firstLine="120" w:firstLineChars="50"/>
        <w:rPr>
          <w:rFonts w:ascii="宋体" w:hAnsi="宋体" w:cs="仿宋"/>
          <w:sz w:val="24"/>
          <w:szCs w:val="24"/>
        </w:rPr>
      </w:pPr>
      <w:r>
        <w:rPr>
          <w:rFonts w:hint="eastAsia" w:ascii="宋体" w:hAnsi="宋体" w:cs="仿宋"/>
          <w:sz w:val="24"/>
          <w:szCs w:val="24"/>
        </w:rPr>
        <w:t>法定代表人或供应商全权代表：（签字或印章）</w:t>
      </w:r>
    </w:p>
    <w:p>
      <w:pPr>
        <w:spacing w:line="480" w:lineRule="exact"/>
        <w:rPr>
          <w:rFonts w:ascii="宋体" w:hAnsi="宋体" w:cs="仿宋"/>
          <w:sz w:val="24"/>
          <w:szCs w:val="24"/>
        </w:rPr>
      </w:pPr>
    </w:p>
    <w:p>
      <w:pPr>
        <w:spacing w:line="480" w:lineRule="exact"/>
        <w:ind w:firstLine="7320" w:firstLineChars="3050"/>
        <w:rPr>
          <w:rFonts w:ascii="宋体" w:hAnsi="宋体" w:cs="仿宋"/>
          <w:sz w:val="24"/>
          <w:szCs w:val="24"/>
        </w:rPr>
      </w:pPr>
    </w:p>
    <w:p>
      <w:pPr>
        <w:spacing w:line="480" w:lineRule="exact"/>
        <w:jc w:val="right"/>
        <w:rPr>
          <w:rFonts w:ascii="宋体" w:hAnsi="宋体" w:cs="仿宋"/>
          <w:sz w:val="24"/>
          <w:szCs w:val="24"/>
        </w:rPr>
      </w:pPr>
      <w:r>
        <w:rPr>
          <w:rFonts w:hint="eastAsia" w:ascii="宋体" w:hAnsi="宋体" w:cs="仿宋"/>
          <w:sz w:val="24"/>
          <w:szCs w:val="24"/>
        </w:rPr>
        <w:t>年   月   日</w:t>
      </w:r>
    </w:p>
    <w:p>
      <w:pPr>
        <w:spacing w:line="480" w:lineRule="exact"/>
        <w:jc w:val="center"/>
        <w:rPr>
          <w:rFonts w:ascii="宋体" w:hAnsi="宋体" w:cs="仿宋"/>
          <w:b/>
          <w:sz w:val="24"/>
          <w:szCs w:val="24"/>
        </w:rPr>
      </w:pPr>
    </w:p>
    <w:p>
      <w:pPr>
        <w:spacing w:line="480" w:lineRule="exact"/>
        <w:jc w:val="center"/>
        <w:rPr>
          <w:rFonts w:ascii="宋体" w:hAnsi="宋体" w:cs="仿宋"/>
          <w:b/>
          <w:sz w:val="24"/>
          <w:szCs w:val="24"/>
        </w:rPr>
      </w:pPr>
      <w:r>
        <w:rPr>
          <w:rFonts w:hint="eastAsia" w:ascii="宋体" w:hAnsi="宋体" w:cs="仿宋"/>
          <w:b/>
          <w:sz w:val="24"/>
          <w:szCs w:val="24"/>
        </w:rPr>
        <w:t>技术条款偏离表</w:t>
      </w:r>
    </w:p>
    <w:p>
      <w:pPr>
        <w:spacing w:line="480" w:lineRule="exact"/>
        <w:jc w:val="center"/>
        <w:rPr>
          <w:rFonts w:ascii="宋体" w:hAnsi="宋体" w:cs="仿宋"/>
          <w:b/>
          <w:sz w:val="24"/>
          <w:szCs w:val="24"/>
        </w:rPr>
      </w:pPr>
    </w:p>
    <w:tbl>
      <w:tblPr>
        <w:tblStyle w:val="56"/>
        <w:tblW w:w="89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82"/>
        <w:gridCol w:w="2519"/>
        <w:gridCol w:w="1080"/>
        <w:gridCol w:w="251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restart"/>
            <w:vAlign w:val="center"/>
          </w:tcPr>
          <w:p>
            <w:pPr>
              <w:spacing w:line="480" w:lineRule="exact"/>
              <w:jc w:val="center"/>
              <w:rPr>
                <w:rFonts w:ascii="宋体" w:hAnsi="宋体" w:cs="仿宋"/>
                <w:sz w:val="24"/>
                <w:szCs w:val="24"/>
              </w:rPr>
            </w:pPr>
            <w:r>
              <w:rPr>
                <w:rFonts w:hint="eastAsia" w:ascii="宋体" w:hAnsi="宋体" w:cs="仿宋"/>
                <w:sz w:val="24"/>
                <w:szCs w:val="24"/>
              </w:rPr>
              <w:t>序号</w:t>
            </w:r>
          </w:p>
        </w:tc>
        <w:tc>
          <w:tcPr>
            <w:tcW w:w="3601" w:type="dxa"/>
            <w:gridSpan w:val="2"/>
            <w:vAlign w:val="center"/>
          </w:tcPr>
          <w:p>
            <w:pPr>
              <w:spacing w:line="480" w:lineRule="exact"/>
              <w:jc w:val="center"/>
              <w:rPr>
                <w:rFonts w:ascii="宋体" w:hAnsi="宋体" w:cs="仿宋"/>
                <w:sz w:val="24"/>
                <w:szCs w:val="24"/>
              </w:rPr>
            </w:pPr>
            <w:r>
              <w:rPr>
                <w:rFonts w:hint="eastAsia" w:ascii="宋体" w:hAnsi="宋体" w:cs="仿宋"/>
                <w:sz w:val="24"/>
                <w:szCs w:val="24"/>
              </w:rPr>
              <w:t>招标文件</w:t>
            </w:r>
          </w:p>
        </w:tc>
        <w:tc>
          <w:tcPr>
            <w:tcW w:w="3599" w:type="dxa"/>
            <w:gridSpan w:val="2"/>
            <w:vAlign w:val="center"/>
          </w:tcPr>
          <w:p>
            <w:pPr>
              <w:spacing w:line="480" w:lineRule="exact"/>
              <w:jc w:val="center"/>
              <w:rPr>
                <w:rFonts w:ascii="宋体" w:hAnsi="宋体" w:cs="仿宋"/>
                <w:sz w:val="24"/>
                <w:szCs w:val="24"/>
              </w:rPr>
            </w:pPr>
            <w:r>
              <w:rPr>
                <w:rFonts w:hint="eastAsia" w:ascii="宋体" w:hAnsi="宋体" w:cs="仿宋"/>
                <w:sz w:val="24"/>
                <w:szCs w:val="24"/>
              </w:rPr>
              <w:t>响应文件</w:t>
            </w:r>
          </w:p>
        </w:tc>
        <w:tc>
          <w:tcPr>
            <w:tcW w:w="1079" w:type="dxa"/>
            <w:vMerge w:val="restart"/>
            <w:vAlign w:val="center"/>
          </w:tcPr>
          <w:p>
            <w:pPr>
              <w:spacing w:line="480" w:lineRule="exact"/>
              <w:jc w:val="center"/>
              <w:rPr>
                <w:rFonts w:ascii="宋体" w:hAnsi="宋体" w:cs="仿宋"/>
                <w:sz w:val="24"/>
                <w:szCs w:val="24"/>
              </w:rPr>
            </w:pPr>
            <w:r>
              <w:rPr>
                <w:rFonts w:hint="eastAsia" w:ascii="宋体" w:hAnsi="宋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r>
              <w:rPr>
                <w:rFonts w:hint="eastAsia" w:ascii="宋体" w:hAnsi="宋体" w:cs="仿宋"/>
                <w:sz w:val="24"/>
                <w:szCs w:val="24"/>
              </w:rPr>
              <w:t>条款号</w:t>
            </w:r>
          </w:p>
        </w:tc>
        <w:tc>
          <w:tcPr>
            <w:tcW w:w="2519" w:type="dxa"/>
            <w:vAlign w:val="center"/>
          </w:tcPr>
          <w:p>
            <w:pPr>
              <w:spacing w:line="480" w:lineRule="exact"/>
              <w:jc w:val="center"/>
              <w:rPr>
                <w:rFonts w:ascii="宋体" w:hAnsi="宋体" w:cs="仿宋"/>
                <w:sz w:val="24"/>
                <w:szCs w:val="24"/>
              </w:rPr>
            </w:pPr>
            <w:r>
              <w:rPr>
                <w:rFonts w:hint="eastAsia" w:ascii="宋体" w:hAnsi="宋体" w:cs="仿宋"/>
                <w:sz w:val="24"/>
                <w:szCs w:val="24"/>
              </w:rPr>
              <w:t>条款内容</w:t>
            </w:r>
          </w:p>
        </w:tc>
        <w:tc>
          <w:tcPr>
            <w:tcW w:w="1080" w:type="dxa"/>
            <w:vAlign w:val="center"/>
          </w:tcPr>
          <w:p>
            <w:pPr>
              <w:spacing w:line="480" w:lineRule="exact"/>
              <w:jc w:val="center"/>
              <w:rPr>
                <w:rFonts w:ascii="宋体" w:hAnsi="宋体" w:cs="仿宋"/>
                <w:sz w:val="24"/>
                <w:szCs w:val="24"/>
              </w:rPr>
            </w:pPr>
            <w:r>
              <w:rPr>
                <w:rFonts w:hint="eastAsia" w:ascii="宋体" w:hAnsi="宋体" w:cs="仿宋"/>
                <w:sz w:val="24"/>
                <w:szCs w:val="24"/>
              </w:rPr>
              <w:t>条款号</w:t>
            </w:r>
          </w:p>
        </w:tc>
        <w:tc>
          <w:tcPr>
            <w:tcW w:w="2519" w:type="dxa"/>
            <w:vAlign w:val="center"/>
          </w:tcPr>
          <w:p>
            <w:pPr>
              <w:spacing w:line="480" w:lineRule="exact"/>
              <w:jc w:val="center"/>
              <w:rPr>
                <w:rFonts w:ascii="宋体" w:hAnsi="宋体" w:cs="仿宋"/>
                <w:sz w:val="24"/>
                <w:szCs w:val="24"/>
              </w:rPr>
            </w:pPr>
            <w:r>
              <w:rPr>
                <w:rFonts w:hint="eastAsia" w:ascii="宋体" w:hAnsi="宋体" w:cs="仿宋"/>
                <w:sz w:val="24"/>
                <w:szCs w:val="24"/>
              </w:rPr>
              <w:t>条款内容</w:t>
            </w:r>
          </w:p>
        </w:tc>
        <w:tc>
          <w:tcPr>
            <w:tcW w:w="1079" w:type="dxa"/>
            <w:vMerge w:val="continue"/>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bl>
    <w:p>
      <w:pPr>
        <w:spacing w:line="480" w:lineRule="exact"/>
        <w:rPr>
          <w:rFonts w:ascii="宋体" w:hAnsi="宋体" w:cs="仿宋"/>
          <w:sz w:val="24"/>
          <w:szCs w:val="24"/>
        </w:rPr>
      </w:pPr>
    </w:p>
    <w:p>
      <w:pPr>
        <w:spacing w:line="480" w:lineRule="exact"/>
        <w:ind w:firstLine="120" w:firstLineChars="50"/>
        <w:rPr>
          <w:rFonts w:ascii="宋体" w:hAnsi="宋体" w:cs="仿宋"/>
          <w:sz w:val="24"/>
          <w:szCs w:val="24"/>
        </w:rPr>
      </w:pPr>
      <w:r>
        <w:rPr>
          <w:rFonts w:hint="eastAsia" w:ascii="宋体" w:hAnsi="宋体" w:cs="仿宋"/>
          <w:sz w:val="24"/>
          <w:szCs w:val="24"/>
        </w:rPr>
        <w:t>供应商 （公章）：</w:t>
      </w:r>
    </w:p>
    <w:p>
      <w:pPr>
        <w:spacing w:line="480" w:lineRule="exact"/>
        <w:ind w:firstLine="120" w:firstLineChars="50"/>
        <w:rPr>
          <w:rFonts w:ascii="宋体" w:hAnsi="宋体" w:cs="仿宋"/>
          <w:sz w:val="24"/>
          <w:szCs w:val="24"/>
        </w:rPr>
      </w:pPr>
      <w:r>
        <w:rPr>
          <w:rFonts w:hint="eastAsia" w:ascii="宋体" w:hAnsi="宋体" w:cs="仿宋"/>
          <w:sz w:val="24"/>
          <w:szCs w:val="24"/>
        </w:rPr>
        <w:t>法定代表人或供应商全权代表：（签字或印章）</w:t>
      </w:r>
    </w:p>
    <w:p>
      <w:pPr>
        <w:spacing w:line="480" w:lineRule="exact"/>
        <w:ind w:firstLine="7080" w:firstLineChars="2950"/>
        <w:rPr>
          <w:rFonts w:ascii="宋体" w:hAnsi="宋体" w:cs="仿宋"/>
          <w:sz w:val="24"/>
          <w:szCs w:val="24"/>
        </w:rPr>
      </w:pPr>
    </w:p>
    <w:p>
      <w:pPr>
        <w:spacing w:line="480" w:lineRule="exact"/>
        <w:ind w:firstLine="7080" w:firstLineChars="2950"/>
        <w:rPr>
          <w:rFonts w:ascii="宋体" w:hAnsi="宋体" w:cs="仿宋"/>
          <w:sz w:val="24"/>
          <w:szCs w:val="24"/>
        </w:rPr>
      </w:pPr>
    </w:p>
    <w:p>
      <w:pPr>
        <w:spacing w:line="480" w:lineRule="exact"/>
        <w:jc w:val="right"/>
        <w:rPr>
          <w:rFonts w:ascii="宋体" w:hAnsi="宋体" w:cs="仿宋"/>
          <w:sz w:val="24"/>
          <w:szCs w:val="24"/>
        </w:rPr>
      </w:pPr>
      <w:r>
        <w:rPr>
          <w:rFonts w:hint="eastAsia" w:ascii="宋体" w:hAnsi="宋体" w:cs="仿宋"/>
          <w:sz w:val="24"/>
          <w:szCs w:val="24"/>
        </w:rPr>
        <w:t>年   月   日</w:t>
      </w:r>
    </w:p>
    <w:p>
      <w:pPr>
        <w:spacing w:before="100" w:beforeAutospacing="1" w:after="100" w:afterAutospacing="1" w:line="440" w:lineRule="exact"/>
        <w:jc w:val="center"/>
        <w:rPr>
          <w:rFonts w:ascii="宋体" w:hAnsi="宋体" w:cs="仿宋"/>
          <w:b/>
          <w:sz w:val="24"/>
          <w:szCs w:val="24"/>
        </w:rPr>
      </w:pPr>
    </w:p>
    <w:p>
      <w:pPr>
        <w:spacing w:before="100" w:beforeAutospacing="1" w:after="100" w:afterAutospacing="1" w:line="440" w:lineRule="exact"/>
        <w:jc w:val="center"/>
        <w:rPr>
          <w:rFonts w:ascii="宋体" w:hAnsi="宋体" w:cs="仿宋"/>
          <w:b/>
          <w:sz w:val="24"/>
          <w:szCs w:val="24"/>
        </w:rPr>
      </w:pPr>
      <w:r>
        <w:rPr>
          <w:rFonts w:hint="eastAsia" w:ascii="宋体" w:hAnsi="宋体" w:cs="仿宋"/>
          <w:b/>
          <w:sz w:val="24"/>
          <w:szCs w:val="24"/>
        </w:rPr>
        <w:t>同类设备装机情况汇总表</w:t>
      </w:r>
    </w:p>
    <w:tbl>
      <w:tblPr>
        <w:tblStyle w:val="56"/>
        <w:tblW w:w="91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2091"/>
        <w:gridCol w:w="1252"/>
        <w:gridCol w:w="1252"/>
        <w:gridCol w:w="1681"/>
        <w:gridCol w:w="969"/>
        <w:gridCol w:w="12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序号</w:t>
            </w: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采购单位名称</w:t>
            </w: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采购内容</w:t>
            </w: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合同价格</w:t>
            </w: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签订合同时间</w:t>
            </w: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联系人</w:t>
            </w: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bl>
    <w:p>
      <w:pPr>
        <w:spacing w:line="480" w:lineRule="exact"/>
        <w:ind w:firstLine="120" w:firstLineChars="50"/>
        <w:rPr>
          <w:rFonts w:ascii="宋体" w:hAnsi="宋体" w:cs="仿宋"/>
          <w:sz w:val="24"/>
          <w:szCs w:val="24"/>
        </w:rPr>
      </w:pPr>
      <w:r>
        <w:rPr>
          <w:rFonts w:hint="eastAsia" w:ascii="宋体" w:hAnsi="宋体" w:cs="仿宋"/>
          <w:sz w:val="24"/>
          <w:szCs w:val="24"/>
        </w:rPr>
        <w:t>注：供应商应在本表之后附相关证明材料。</w:t>
      </w:r>
    </w:p>
    <w:p>
      <w:pPr>
        <w:spacing w:line="480" w:lineRule="exact"/>
        <w:rPr>
          <w:rFonts w:ascii="宋体" w:hAnsi="宋体" w:cs="仿宋"/>
          <w:sz w:val="24"/>
          <w:szCs w:val="24"/>
        </w:rPr>
      </w:pPr>
    </w:p>
    <w:p>
      <w:pPr>
        <w:spacing w:line="480" w:lineRule="exact"/>
        <w:rPr>
          <w:rFonts w:ascii="宋体" w:hAnsi="宋体" w:cs="仿宋"/>
          <w:sz w:val="24"/>
          <w:szCs w:val="24"/>
        </w:rPr>
      </w:pPr>
      <w:r>
        <w:rPr>
          <w:rFonts w:hint="eastAsia" w:ascii="宋体" w:hAnsi="宋体" w:cs="仿宋"/>
          <w:sz w:val="24"/>
          <w:szCs w:val="24"/>
        </w:rPr>
        <w:t>供应商 （公章）：</w:t>
      </w:r>
    </w:p>
    <w:p>
      <w:pPr>
        <w:spacing w:line="480" w:lineRule="exact"/>
        <w:rPr>
          <w:rFonts w:ascii="宋体" w:hAnsi="宋体" w:cs="仿宋"/>
          <w:sz w:val="24"/>
          <w:szCs w:val="24"/>
        </w:rPr>
      </w:pPr>
      <w:r>
        <w:rPr>
          <w:rFonts w:hint="eastAsia" w:ascii="宋体" w:hAnsi="宋体" w:cs="仿宋"/>
          <w:sz w:val="24"/>
          <w:szCs w:val="24"/>
        </w:rPr>
        <w:t>法定代表人或供应商全权代表：（签字或印章）</w:t>
      </w:r>
    </w:p>
    <w:p>
      <w:pPr>
        <w:spacing w:line="480" w:lineRule="exact"/>
        <w:rPr>
          <w:rFonts w:ascii="宋体" w:hAnsi="宋体" w:cs="仿宋"/>
          <w:sz w:val="24"/>
          <w:szCs w:val="24"/>
        </w:rPr>
      </w:pPr>
    </w:p>
    <w:p>
      <w:pPr>
        <w:spacing w:line="480" w:lineRule="exact"/>
        <w:rPr>
          <w:rFonts w:ascii="宋体" w:hAnsi="宋体" w:cs="仿宋"/>
          <w:sz w:val="24"/>
          <w:szCs w:val="24"/>
        </w:rPr>
      </w:pPr>
    </w:p>
    <w:p>
      <w:pPr>
        <w:spacing w:line="480" w:lineRule="exact"/>
        <w:jc w:val="right"/>
        <w:rPr>
          <w:rFonts w:ascii="宋体" w:hAnsi="宋体" w:cs="仿宋"/>
          <w:sz w:val="24"/>
          <w:szCs w:val="24"/>
        </w:rPr>
      </w:pPr>
      <w:r>
        <w:rPr>
          <w:rFonts w:hint="eastAsia" w:ascii="宋体" w:hAnsi="宋体" w:cs="仿宋"/>
          <w:sz w:val="24"/>
          <w:szCs w:val="24"/>
        </w:rPr>
        <w:t>年   月   日</w:t>
      </w:r>
    </w:p>
    <w:p>
      <w:pPr>
        <w:spacing w:line="480" w:lineRule="exact"/>
        <w:jc w:val="center"/>
        <w:rPr>
          <w:rFonts w:ascii="宋体" w:hAnsi="宋体" w:cs="仿宋"/>
          <w:b/>
          <w:sz w:val="24"/>
          <w:szCs w:val="24"/>
        </w:rPr>
      </w:pPr>
    </w:p>
    <w:p>
      <w:pPr>
        <w:spacing w:line="480" w:lineRule="exact"/>
        <w:jc w:val="center"/>
        <w:rPr>
          <w:rFonts w:ascii="宋体" w:hAnsi="宋体" w:cs="仿宋"/>
          <w:b/>
          <w:sz w:val="24"/>
          <w:szCs w:val="24"/>
        </w:rPr>
      </w:pPr>
    </w:p>
    <w:p>
      <w:pPr>
        <w:spacing w:line="480" w:lineRule="exact"/>
        <w:jc w:val="center"/>
        <w:rPr>
          <w:rFonts w:ascii="宋体" w:hAnsi="宋体" w:cs="仿宋"/>
          <w:b/>
          <w:sz w:val="24"/>
          <w:szCs w:val="24"/>
        </w:rPr>
      </w:pPr>
      <w:r>
        <w:rPr>
          <w:rFonts w:hint="eastAsia" w:ascii="宋体" w:hAnsi="宋体" w:cs="仿宋"/>
          <w:b/>
          <w:sz w:val="24"/>
          <w:szCs w:val="24"/>
        </w:rPr>
        <w:t>响应文件包装袋密封件正面格式</w:t>
      </w:r>
    </w:p>
    <w:p>
      <w:pPr>
        <w:spacing w:line="480" w:lineRule="exact"/>
        <w:rPr>
          <w:rFonts w:ascii="宋体" w:hAnsi="宋体" w:cs="仿宋"/>
          <w:sz w:val="24"/>
          <w:szCs w:val="24"/>
        </w:rPr>
      </w:pPr>
    </w:p>
    <w:tbl>
      <w:tblPr>
        <w:tblStyle w:val="56"/>
        <w:tblpPr w:leftFromText="180" w:rightFromText="180" w:vertAnchor="text" w:horzAnchor="margin" w:tblpXSpec="center" w:tblpY="180"/>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2"/>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6" w:hRule="atLeast"/>
        </w:trPr>
        <w:tc>
          <w:tcPr>
            <w:tcW w:w="4332" w:type="dxa"/>
          </w:tcPr>
          <w:p>
            <w:pPr>
              <w:pStyle w:val="3"/>
              <w:spacing w:line="460" w:lineRule="exact"/>
              <w:ind w:firstLine="0" w:firstLineChars="0"/>
              <w:jc w:val="left"/>
              <w:rPr>
                <w:rFonts w:ascii="宋体" w:hAnsi="宋体" w:cs="仿宋"/>
                <w:b/>
                <w:szCs w:val="24"/>
              </w:rPr>
            </w:pPr>
            <w:r>
              <w:rPr>
                <w:rFonts w:hint="eastAsia" w:ascii="宋体" w:hAnsi="宋体" w:cs="仿宋"/>
                <w:b/>
                <w:szCs w:val="24"/>
              </w:rPr>
              <w:t>响应文件</w:t>
            </w:r>
          </w:p>
          <w:p>
            <w:pPr>
              <w:pStyle w:val="3"/>
              <w:spacing w:line="460" w:lineRule="exact"/>
              <w:ind w:firstLine="0" w:firstLineChars="0"/>
              <w:jc w:val="left"/>
              <w:rPr>
                <w:rFonts w:ascii="宋体" w:hAnsi="宋体" w:cs="仿宋"/>
                <w:szCs w:val="24"/>
              </w:rPr>
            </w:pPr>
            <w:r>
              <w:rPr>
                <w:rFonts w:hint="eastAsia" w:ascii="宋体" w:hAnsi="宋体" w:cs="仿宋"/>
                <w:b/>
                <w:szCs w:val="24"/>
              </w:rPr>
              <w:t>（正本）</w:t>
            </w:r>
          </w:p>
          <w:p>
            <w:pPr>
              <w:pStyle w:val="3"/>
              <w:spacing w:line="460" w:lineRule="exact"/>
              <w:ind w:firstLine="0" w:firstLineChars="0"/>
              <w:jc w:val="left"/>
              <w:rPr>
                <w:rFonts w:ascii="宋体" w:hAnsi="宋体" w:cs="仿宋"/>
                <w:szCs w:val="24"/>
              </w:rPr>
            </w:pPr>
            <w:r>
              <w:rPr>
                <w:rFonts w:hint="eastAsia" w:ascii="宋体" w:hAnsi="宋体" w:cs="仿宋"/>
                <w:szCs w:val="24"/>
              </w:rPr>
              <w:t>项目编号：</w:t>
            </w:r>
          </w:p>
          <w:p>
            <w:pPr>
              <w:pStyle w:val="3"/>
              <w:spacing w:line="460" w:lineRule="exact"/>
              <w:ind w:firstLine="0" w:firstLineChars="0"/>
              <w:jc w:val="left"/>
              <w:rPr>
                <w:rFonts w:ascii="宋体" w:hAnsi="宋体" w:cs="仿宋"/>
                <w:szCs w:val="24"/>
              </w:rPr>
            </w:pPr>
            <w:r>
              <w:rPr>
                <w:rFonts w:hint="eastAsia" w:ascii="宋体" w:hAnsi="宋体" w:cs="仿宋"/>
                <w:szCs w:val="24"/>
              </w:rPr>
              <w:t>项目名称：</w:t>
            </w:r>
          </w:p>
          <w:p>
            <w:pPr>
              <w:pStyle w:val="3"/>
              <w:spacing w:line="460" w:lineRule="exact"/>
              <w:ind w:firstLine="0" w:firstLineChars="0"/>
              <w:jc w:val="left"/>
              <w:rPr>
                <w:rFonts w:ascii="宋体" w:hAnsi="宋体" w:cs="仿宋"/>
                <w:szCs w:val="24"/>
              </w:rPr>
            </w:pPr>
            <w:r>
              <w:rPr>
                <w:rFonts w:hint="eastAsia" w:ascii="宋体" w:hAnsi="宋体" w:cs="仿宋"/>
                <w:szCs w:val="24"/>
              </w:rPr>
              <w:t>供应商名称（公章）：</w:t>
            </w:r>
          </w:p>
          <w:p>
            <w:pPr>
              <w:pStyle w:val="3"/>
              <w:spacing w:line="460" w:lineRule="exact"/>
              <w:ind w:firstLine="0" w:firstLineChars="0"/>
              <w:jc w:val="left"/>
              <w:rPr>
                <w:rFonts w:ascii="宋体" w:hAnsi="宋体" w:cs="仿宋"/>
                <w:szCs w:val="24"/>
              </w:rPr>
            </w:pPr>
            <w:r>
              <w:rPr>
                <w:rFonts w:hint="eastAsia" w:ascii="宋体" w:hAnsi="宋体" w:cs="仿宋"/>
                <w:szCs w:val="24"/>
              </w:rPr>
              <w:t>地址：</w:t>
            </w:r>
          </w:p>
          <w:p>
            <w:pPr>
              <w:pStyle w:val="3"/>
              <w:spacing w:line="460" w:lineRule="exact"/>
              <w:ind w:firstLine="0" w:firstLineChars="0"/>
              <w:jc w:val="left"/>
              <w:rPr>
                <w:rFonts w:ascii="宋体" w:hAnsi="宋体" w:cs="仿宋"/>
                <w:szCs w:val="24"/>
              </w:rPr>
            </w:pPr>
            <w:r>
              <w:rPr>
                <w:rFonts w:hint="eastAsia" w:ascii="宋体" w:hAnsi="宋体" w:cs="仿宋"/>
                <w:szCs w:val="24"/>
              </w:rPr>
              <w:t>电话：</w:t>
            </w:r>
          </w:p>
          <w:p>
            <w:pPr>
              <w:pStyle w:val="3"/>
              <w:spacing w:line="460" w:lineRule="exact"/>
              <w:ind w:firstLine="0" w:firstLineChars="0"/>
              <w:rPr>
                <w:rFonts w:ascii="宋体" w:hAnsi="宋体" w:cs="仿宋"/>
                <w:szCs w:val="24"/>
              </w:rPr>
            </w:pPr>
            <w:r>
              <w:rPr>
                <w:rFonts w:hint="eastAsia" w:ascii="宋体" w:hAnsi="宋体" w:cs="仿宋"/>
                <w:szCs w:val="24"/>
              </w:rPr>
              <w:t xml:space="preserve">传真： </w:t>
            </w:r>
          </w:p>
        </w:tc>
        <w:tc>
          <w:tcPr>
            <w:tcW w:w="4620" w:type="dxa"/>
          </w:tcPr>
          <w:p>
            <w:pPr>
              <w:pStyle w:val="3"/>
              <w:spacing w:line="460" w:lineRule="exact"/>
              <w:ind w:firstLine="0" w:firstLineChars="0"/>
              <w:jc w:val="left"/>
              <w:rPr>
                <w:rFonts w:ascii="宋体" w:hAnsi="宋体" w:cs="仿宋"/>
                <w:b/>
                <w:szCs w:val="24"/>
              </w:rPr>
            </w:pPr>
            <w:r>
              <w:rPr>
                <w:rFonts w:hint="eastAsia" w:ascii="宋体" w:hAnsi="宋体" w:cs="仿宋"/>
                <w:b/>
                <w:szCs w:val="24"/>
              </w:rPr>
              <w:t>响应文件</w:t>
            </w:r>
          </w:p>
          <w:p>
            <w:pPr>
              <w:pStyle w:val="3"/>
              <w:spacing w:line="460" w:lineRule="exact"/>
              <w:ind w:firstLine="0" w:firstLineChars="0"/>
              <w:jc w:val="left"/>
              <w:rPr>
                <w:rFonts w:ascii="宋体" w:hAnsi="宋体" w:cs="仿宋"/>
                <w:szCs w:val="24"/>
              </w:rPr>
            </w:pPr>
            <w:r>
              <w:rPr>
                <w:rFonts w:hint="eastAsia" w:ascii="宋体" w:hAnsi="宋体" w:cs="仿宋"/>
                <w:b/>
                <w:szCs w:val="24"/>
              </w:rPr>
              <w:t>（副本）</w:t>
            </w:r>
          </w:p>
          <w:p>
            <w:pPr>
              <w:pStyle w:val="3"/>
              <w:spacing w:line="460" w:lineRule="exact"/>
              <w:ind w:firstLine="0" w:firstLineChars="0"/>
              <w:jc w:val="left"/>
              <w:rPr>
                <w:rFonts w:ascii="宋体" w:hAnsi="宋体" w:cs="仿宋"/>
                <w:szCs w:val="24"/>
              </w:rPr>
            </w:pPr>
            <w:r>
              <w:rPr>
                <w:rFonts w:hint="eastAsia" w:ascii="宋体" w:hAnsi="宋体" w:cs="仿宋"/>
                <w:szCs w:val="24"/>
              </w:rPr>
              <w:t>项目编号：</w:t>
            </w:r>
          </w:p>
          <w:p>
            <w:pPr>
              <w:pStyle w:val="3"/>
              <w:spacing w:line="460" w:lineRule="exact"/>
              <w:ind w:firstLine="0" w:firstLineChars="0"/>
              <w:jc w:val="left"/>
              <w:rPr>
                <w:rFonts w:ascii="宋体" w:hAnsi="宋体" w:cs="仿宋"/>
                <w:szCs w:val="24"/>
              </w:rPr>
            </w:pPr>
            <w:r>
              <w:rPr>
                <w:rFonts w:hint="eastAsia" w:ascii="宋体" w:hAnsi="宋体" w:cs="仿宋"/>
                <w:szCs w:val="24"/>
              </w:rPr>
              <w:t xml:space="preserve">项目名称： </w:t>
            </w:r>
          </w:p>
          <w:p>
            <w:pPr>
              <w:pStyle w:val="3"/>
              <w:spacing w:line="460" w:lineRule="exact"/>
              <w:ind w:firstLine="0" w:firstLineChars="0"/>
              <w:jc w:val="left"/>
              <w:rPr>
                <w:rFonts w:ascii="宋体" w:hAnsi="宋体" w:cs="仿宋"/>
                <w:szCs w:val="24"/>
              </w:rPr>
            </w:pPr>
            <w:r>
              <w:rPr>
                <w:rFonts w:hint="eastAsia" w:ascii="宋体" w:hAnsi="宋体" w:cs="仿宋"/>
                <w:szCs w:val="24"/>
              </w:rPr>
              <w:t>供应商名称（公章）：</w:t>
            </w:r>
          </w:p>
          <w:p>
            <w:pPr>
              <w:pStyle w:val="3"/>
              <w:spacing w:line="460" w:lineRule="exact"/>
              <w:ind w:firstLine="0" w:firstLineChars="0"/>
              <w:jc w:val="left"/>
              <w:rPr>
                <w:rFonts w:ascii="宋体" w:hAnsi="宋体" w:cs="仿宋"/>
                <w:szCs w:val="24"/>
              </w:rPr>
            </w:pPr>
            <w:r>
              <w:rPr>
                <w:rFonts w:hint="eastAsia" w:ascii="宋体" w:hAnsi="宋体" w:cs="仿宋"/>
                <w:szCs w:val="24"/>
              </w:rPr>
              <w:t>地址：</w:t>
            </w:r>
          </w:p>
          <w:p>
            <w:pPr>
              <w:pStyle w:val="3"/>
              <w:spacing w:line="460" w:lineRule="exact"/>
              <w:ind w:firstLine="0" w:firstLineChars="0"/>
              <w:jc w:val="left"/>
              <w:rPr>
                <w:rFonts w:ascii="宋体" w:hAnsi="宋体" w:cs="仿宋"/>
                <w:szCs w:val="24"/>
              </w:rPr>
            </w:pPr>
            <w:r>
              <w:rPr>
                <w:rFonts w:hint="eastAsia" w:ascii="宋体" w:hAnsi="宋体" w:cs="仿宋"/>
                <w:szCs w:val="24"/>
              </w:rPr>
              <w:t>电话：</w:t>
            </w:r>
          </w:p>
          <w:p>
            <w:pPr>
              <w:pStyle w:val="3"/>
              <w:spacing w:line="460" w:lineRule="exact"/>
              <w:ind w:firstLine="0" w:firstLineChars="0"/>
              <w:jc w:val="left"/>
              <w:rPr>
                <w:rFonts w:ascii="宋体" w:hAnsi="宋体" w:cs="仿宋"/>
                <w:szCs w:val="24"/>
              </w:rPr>
            </w:pPr>
            <w:r>
              <w:rPr>
                <w:rFonts w:hint="eastAsia" w:ascii="宋体" w:hAnsi="宋体" w:cs="仿宋"/>
                <w:szCs w:val="24"/>
              </w:rPr>
              <w:t xml:space="preserve">传真： </w:t>
            </w:r>
          </w:p>
        </w:tc>
      </w:tr>
    </w:tbl>
    <w:p>
      <w:pPr>
        <w:pStyle w:val="3"/>
        <w:spacing w:line="240" w:lineRule="auto"/>
        <w:ind w:firstLine="0" w:firstLineChars="0"/>
        <w:rPr>
          <w:rFonts w:ascii="宋体" w:hAnsi="宋体" w:cs="仿宋"/>
          <w:szCs w:val="24"/>
        </w:rPr>
      </w:pPr>
    </w:p>
    <w:tbl>
      <w:tblPr>
        <w:tblStyle w:val="56"/>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jc w:val="center"/>
        </w:trPr>
        <w:tc>
          <w:tcPr>
            <w:tcW w:w="8924" w:type="dxa"/>
            <w:tcBorders>
              <w:bottom w:val="single" w:color="auto" w:sz="4" w:space="0"/>
            </w:tcBorders>
          </w:tcPr>
          <w:p>
            <w:pPr>
              <w:pStyle w:val="3"/>
              <w:spacing w:line="240" w:lineRule="auto"/>
              <w:ind w:firstLine="0" w:firstLineChars="0"/>
              <w:rPr>
                <w:rFonts w:ascii="宋体" w:hAnsi="宋体" w:cs="仿宋"/>
                <w:szCs w:val="24"/>
              </w:rPr>
            </w:pPr>
            <w:r>
              <w:rPr>
                <w:rFonts w:hint="eastAsia" w:ascii="宋体" w:hAnsi="宋体" w:cs="仿宋"/>
                <w:b/>
                <w:szCs w:val="24"/>
              </w:rPr>
              <w:t xml:space="preserve">公开报价一览表              </w:t>
            </w:r>
          </w:p>
          <w:p>
            <w:pPr>
              <w:pStyle w:val="3"/>
              <w:spacing w:line="460" w:lineRule="exact"/>
              <w:ind w:firstLine="0" w:firstLineChars="0"/>
              <w:jc w:val="left"/>
              <w:rPr>
                <w:rFonts w:ascii="宋体" w:hAnsi="宋体" w:cs="仿宋"/>
                <w:szCs w:val="24"/>
              </w:rPr>
            </w:pPr>
            <w:r>
              <w:rPr>
                <w:rFonts w:hint="eastAsia" w:ascii="宋体" w:hAnsi="宋体" w:cs="仿宋"/>
                <w:szCs w:val="24"/>
              </w:rPr>
              <w:t>项目编号：</w:t>
            </w:r>
          </w:p>
          <w:p>
            <w:pPr>
              <w:pStyle w:val="3"/>
              <w:spacing w:line="460" w:lineRule="exact"/>
              <w:ind w:firstLine="0" w:firstLineChars="0"/>
              <w:jc w:val="left"/>
              <w:rPr>
                <w:rFonts w:ascii="宋体" w:hAnsi="宋体" w:cs="仿宋"/>
                <w:szCs w:val="24"/>
              </w:rPr>
            </w:pPr>
            <w:r>
              <w:rPr>
                <w:rFonts w:hint="eastAsia" w:ascii="宋体" w:hAnsi="宋体" w:cs="仿宋"/>
                <w:szCs w:val="24"/>
              </w:rPr>
              <w:t>项目名称：</w:t>
            </w:r>
          </w:p>
          <w:p>
            <w:pPr>
              <w:pStyle w:val="3"/>
              <w:spacing w:line="460" w:lineRule="exact"/>
              <w:ind w:firstLine="0" w:firstLineChars="0"/>
              <w:jc w:val="left"/>
              <w:rPr>
                <w:rFonts w:ascii="宋体" w:hAnsi="宋体" w:cs="仿宋"/>
                <w:szCs w:val="24"/>
              </w:rPr>
            </w:pPr>
            <w:r>
              <w:rPr>
                <w:rFonts w:hint="eastAsia" w:ascii="宋体" w:hAnsi="宋体" w:cs="仿宋"/>
                <w:szCs w:val="24"/>
              </w:rPr>
              <w:t>供应商名称（公章）：</w:t>
            </w:r>
          </w:p>
          <w:p>
            <w:pPr>
              <w:pStyle w:val="3"/>
              <w:spacing w:line="460" w:lineRule="exact"/>
              <w:ind w:firstLine="0" w:firstLineChars="0"/>
              <w:jc w:val="left"/>
              <w:rPr>
                <w:rFonts w:ascii="宋体" w:hAnsi="宋体" w:cs="仿宋"/>
                <w:szCs w:val="24"/>
              </w:rPr>
            </w:pPr>
            <w:r>
              <w:rPr>
                <w:rFonts w:hint="eastAsia" w:ascii="宋体" w:hAnsi="宋体" w:cs="仿宋"/>
                <w:szCs w:val="24"/>
              </w:rPr>
              <w:t>地址：</w:t>
            </w:r>
          </w:p>
          <w:p>
            <w:pPr>
              <w:pStyle w:val="3"/>
              <w:spacing w:line="460" w:lineRule="exact"/>
              <w:ind w:firstLine="0" w:firstLineChars="0"/>
              <w:jc w:val="left"/>
              <w:rPr>
                <w:rFonts w:ascii="宋体" w:hAnsi="宋体" w:cs="仿宋"/>
                <w:szCs w:val="24"/>
              </w:rPr>
            </w:pPr>
            <w:r>
              <w:rPr>
                <w:rFonts w:hint="eastAsia" w:ascii="宋体" w:hAnsi="宋体" w:cs="仿宋"/>
                <w:szCs w:val="24"/>
              </w:rPr>
              <w:t>电话：</w:t>
            </w:r>
          </w:p>
          <w:p>
            <w:pPr>
              <w:pStyle w:val="3"/>
              <w:spacing w:line="460" w:lineRule="exact"/>
              <w:ind w:firstLine="0" w:firstLineChars="0"/>
              <w:jc w:val="left"/>
              <w:rPr>
                <w:rFonts w:ascii="宋体" w:hAnsi="宋体" w:cs="仿宋"/>
                <w:szCs w:val="24"/>
              </w:rPr>
            </w:pPr>
            <w:r>
              <w:rPr>
                <w:rFonts w:hint="eastAsia" w:ascii="宋体" w:hAnsi="宋体" w:cs="仿宋"/>
                <w:szCs w:val="24"/>
              </w:rPr>
              <w:t>传真：</w:t>
            </w:r>
          </w:p>
          <w:p>
            <w:pPr>
              <w:pStyle w:val="3"/>
              <w:spacing w:line="460" w:lineRule="exact"/>
              <w:ind w:firstLine="0" w:firstLineChars="0"/>
              <w:jc w:val="left"/>
              <w:rPr>
                <w:rFonts w:ascii="宋体" w:hAnsi="宋体" w:cs="仿宋"/>
                <w:color w:val="FF0000"/>
                <w:szCs w:val="24"/>
              </w:rPr>
            </w:pPr>
          </w:p>
          <w:p>
            <w:pPr>
              <w:pStyle w:val="3"/>
              <w:spacing w:line="240" w:lineRule="auto"/>
              <w:ind w:left="1747"/>
              <w:rPr>
                <w:rFonts w:ascii="宋体" w:hAnsi="宋体" w:cs="仿宋"/>
                <w:szCs w:val="24"/>
              </w:rPr>
            </w:pPr>
          </w:p>
        </w:tc>
      </w:tr>
    </w:tbl>
    <w:p>
      <w:pPr>
        <w:spacing w:line="480" w:lineRule="exact"/>
        <w:rPr>
          <w:rFonts w:ascii="宋体" w:hAnsi="宋体" w:cs="仿宋"/>
          <w:b/>
          <w:sz w:val="24"/>
          <w:szCs w:val="24"/>
        </w:rPr>
      </w:pPr>
    </w:p>
    <w:p>
      <w:pPr>
        <w:spacing w:line="480" w:lineRule="exact"/>
        <w:jc w:val="center"/>
        <w:rPr>
          <w:rFonts w:ascii="宋体" w:hAnsi="宋体" w:cs="仿宋"/>
          <w:b/>
          <w:sz w:val="24"/>
          <w:szCs w:val="24"/>
        </w:rPr>
      </w:pPr>
      <w:r>
        <w:rPr>
          <w:rFonts w:hint="eastAsia" w:ascii="宋体" w:hAnsi="宋体" w:cs="仿宋"/>
          <w:b/>
          <w:sz w:val="24"/>
          <w:szCs w:val="24"/>
        </w:rPr>
        <w:t>响应文件封口格式</w:t>
      </w:r>
    </w:p>
    <w:tbl>
      <w:tblPr>
        <w:tblStyle w:val="56"/>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8" w:hRule="atLeast"/>
          <w:jc w:val="center"/>
        </w:trPr>
        <w:tc>
          <w:tcPr>
            <w:tcW w:w="9000" w:type="dxa"/>
          </w:tcPr>
          <w:p>
            <w:pPr>
              <w:spacing w:line="480" w:lineRule="exact"/>
              <w:ind w:firstLine="2040" w:firstLineChars="850"/>
              <w:rPr>
                <w:rFonts w:ascii="宋体" w:hAnsi="宋体" w:cs="仿宋"/>
                <w:sz w:val="24"/>
                <w:szCs w:val="24"/>
              </w:rPr>
            </w:pPr>
          </w:p>
          <w:p>
            <w:pPr>
              <w:spacing w:line="480" w:lineRule="exact"/>
              <w:ind w:firstLine="2040" w:firstLineChars="850"/>
              <w:rPr>
                <w:rFonts w:ascii="宋体" w:hAnsi="宋体" w:cs="仿宋"/>
                <w:sz w:val="24"/>
                <w:szCs w:val="24"/>
              </w:rPr>
            </w:pPr>
            <w:r>
              <w:rPr>
                <w:rFonts w:hint="eastAsia" w:ascii="宋体" w:hAnsi="宋体" w:cs="仿宋"/>
                <w:sz w:val="24"/>
                <w:szCs w:val="24"/>
              </w:rPr>
              <w:t>请勿在     年   月   日   :   时之前启封</w:t>
            </w:r>
          </w:p>
          <w:p>
            <w:pPr>
              <w:spacing w:line="480" w:lineRule="exact"/>
              <w:jc w:val="center"/>
              <w:rPr>
                <w:rFonts w:ascii="宋体" w:hAnsi="宋体" w:cs="仿宋"/>
                <w:sz w:val="24"/>
                <w:szCs w:val="24"/>
              </w:rPr>
            </w:pPr>
            <w:r>
              <w:rPr>
                <w:rFonts w:hint="eastAsia" w:ascii="宋体" w:hAnsi="宋体" w:cs="仿宋"/>
                <w:sz w:val="24"/>
                <w:szCs w:val="24"/>
              </w:rPr>
              <w:t>加盖供应商公章（或供应商法定代表人或其授权代表签字）</w:t>
            </w:r>
          </w:p>
        </w:tc>
      </w:tr>
    </w:tbl>
    <w:p>
      <w:pPr>
        <w:pStyle w:val="5"/>
        <w:spacing w:after="0" w:line="480" w:lineRule="exact"/>
        <w:rPr>
          <w:rFonts w:ascii="宋体" w:hAnsi="宋体"/>
        </w:rPr>
      </w:pPr>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GothicE">
    <w:altName w:val="Courier New"/>
    <w:panose1 w:val="00000000000000000000"/>
    <w:charset w:val="00"/>
    <w:family w:val="auto"/>
    <w:pitch w:val="default"/>
    <w:sig w:usb0="00000000" w:usb1="00000000" w:usb2="00000000" w:usb3="00000000" w:csb0="0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pict>
        <v:shape id="_x0000_s3075" o:spid="_x0000_s307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37"/>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pict>
        <v:shape id="_x0000_s3074" o:spid="_x0000_s3074"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weight="1.25pt" joinstyle="miter"/>
          <v:imagedata o:title=""/>
          <o:lock v:ext="edit"/>
          <v:textbox inset="0mm,0mm,0mm,0mm" style="mso-fit-shape-to-text:t;">
            <w:txbxContent>
              <w:p>
                <w:pPr>
                  <w:pStyle w:val="37"/>
                  <w:rPr>
                    <w:rStyle w:val="60"/>
                    <w:rFonts w:ascii="仿宋_GB2312" w:eastAsia="仿宋_GB2312"/>
                  </w:rPr>
                </w:pPr>
                <w:r>
                  <w:rPr>
                    <w:rStyle w:val="60"/>
                    <w:rFonts w:hint="eastAsia" w:ascii="仿宋_GB2312" w:eastAsia="仿宋_GB2312"/>
                  </w:rPr>
                  <w:t xml:space="preserve">第 </w:t>
                </w:r>
                <w:r>
                  <w:rPr>
                    <w:rFonts w:hint="eastAsia" w:ascii="仿宋_GB2312" w:eastAsia="仿宋_GB2312"/>
                  </w:rPr>
                  <w:fldChar w:fldCharType="begin"/>
                </w:r>
                <w:r>
                  <w:rPr>
                    <w:rStyle w:val="60"/>
                    <w:rFonts w:hint="eastAsia" w:ascii="仿宋_GB2312" w:eastAsia="仿宋_GB2312"/>
                  </w:rPr>
                  <w:instrText xml:space="preserve"> PAGE  \* MERGEFORMAT </w:instrText>
                </w:r>
                <w:r>
                  <w:rPr>
                    <w:rFonts w:hint="eastAsia" w:ascii="仿宋_GB2312" w:eastAsia="仿宋_GB2312"/>
                  </w:rPr>
                  <w:fldChar w:fldCharType="separate"/>
                </w:r>
                <w:r>
                  <w:rPr>
                    <w:rStyle w:val="60"/>
                    <w:rFonts w:ascii="仿宋_GB2312" w:eastAsia="仿宋_GB2312"/>
                  </w:rPr>
                  <w:t>31</w:t>
                </w:r>
                <w:r>
                  <w:rPr>
                    <w:rFonts w:hint="eastAsia" w:ascii="仿宋_GB2312" w:eastAsia="仿宋_GB2312"/>
                  </w:rPr>
                  <w:fldChar w:fldCharType="end"/>
                </w:r>
                <w:r>
                  <w:rPr>
                    <w:rStyle w:val="60"/>
                    <w:rFonts w:hint="eastAsia" w:ascii="仿宋_GB2312" w:eastAsia="仿宋_GB2312"/>
                  </w:rPr>
                  <w:t xml:space="preserve"> 页 共 </w:t>
                </w:r>
                <w:r>
                  <w:fldChar w:fldCharType="begin"/>
                </w:r>
                <w:r>
                  <w:instrText xml:space="preserve"> NUMPAGES  \* MERGEFORMAT </w:instrText>
                </w:r>
                <w:r>
                  <w:fldChar w:fldCharType="separate"/>
                </w:r>
                <w:r>
                  <w:rPr>
                    <w:rStyle w:val="60"/>
                    <w:rFonts w:ascii="仿宋_GB2312" w:eastAsia="仿宋_GB2312"/>
                  </w:rPr>
                  <w:t>45</w:t>
                </w:r>
                <w:r>
                  <w:rPr>
                    <w:rStyle w:val="60"/>
                    <w:rFonts w:ascii="仿宋_GB2312" w:eastAsia="仿宋_GB2312"/>
                  </w:rPr>
                  <w:fldChar w:fldCharType="end"/>
                </w:r>
                <w:r>
                  <w:rPr>
                    <w:rStyle w:val="60"/>
                    <w:rFonts w:hint="eastAsia" w:ascii="仿宋_GB2312" w:eastAsia="仿宋_GB2312"/>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0"/>
      </w:rPr>
    </w:pPr>
    <w:r>
      <w:fldChar w:fldCharType="begin"/>
    </w:r>
    <w:r>
      <w:rPr>
        <w:rStyle w:val="60"/>
      </w:rPr>
      <w:instrText xml:space="preserve">PAGE  </w:instrText>
    </w:r>
    <w:r>
      <w:fldChar w:fldCharType="end"/>
    </w:r>
  </w:p>
  <w:p>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rPr>
        <w:rFonts w:ascii="宋体" w:hAnsi="宋体"/>
        <w:i/>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3D82CD"/>
    <w:multiLevelType w:val="singleLevel"/>
    <w:tmpl w:val="E33D82CD"/>
    <w:lvl w:ilvl="0" w:tentative="0">
      <w:start w:val="1"/>
      <w:numFmt w:val="chineseCounting"/>
      <w:suff w:val="nothing"/>
      <w:lvlText w:val="%1、"/>
      <w:lvlJc w:val="left"/>
      <w:rPr>
        <w:rFonts w:hint="eastAsia"/>
      </w:rPr>
    </w:lvl>
  </w:abstractNum>
  <w:abstractNum w:abstractNumId="1">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E"/>
    <w:multiLevelType w:val="multilevel"/>
    <w:tmpl w:val="0000000E"/>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1C"/>
    <w:multiLevelType w:val="multilevel"/>
    <w:tmpl w:val="0000001C"/>
    <w:lvl w:ilvl="0" w:tentative="0">
      <w:start w:val="1"/>
      <w:numFmt w:val="decimal"/>
      <w:lvlText w:val="%1."/>
      <w:lvlJc w:val="left"/>
      <w:pPr>
        <w:tabs>
          <w:tab w:val="left" w:pos="1379"/>
        </w:tabs>
        <w:ind w:left="1379" w:hanging="420"/>
      </w:pPr>
    </w:lvl>
    <w:lvl w:ilvl="1" w:tentative="0">
      <w:start w:val="1"/>
      <w:numFmt w:val="lowerLetter"/>
      <w:lvlText w:val="%2)"/>
      <w:lvlJc w:val="left"/>
      <w:pPr>
        <w:tabs>
          <w:tab w:val="left" w:pos="1799"/>
        </w:tabs>
        <w:ind w:left="1799" w:hanging="420"/>
      </w:pPr>
    </w:lvl>
    <w:lvl w:ilvl="2" w:tentative="0">
      <w:start w:val="1"/>
      <w:numFmt w:val="lowerRoman"/>
      <w:lvlText w:val="%3."/>
      <w:lvlJc w:val="right"/>
      <w:pPr>
        <w:tabs>
          <w:tab w:val="left" w:pos="2219"/>
        </w:tabs>
        <w:ind w:left="2219" w:hanging="420"/>
      </w:pPr>
    </w:lvl>
    <w:lvl w:ilvl="3" w:tentative="0">
      <w:start w:val="1"/>
      <w:numFmt w:val="decimal"/>
      <w:lvlText w:val="%4."/>
      <w:lvlJc w:val="left"/>
      <w:pPr>
        <w:tabs>
          <w:tab w:val="left" w:pos="2639"/>
        </w:tabs>
        <w:ind w:left="2639" w:hanging="420"/>
      </w:pPr>
    </w:lvl>
    <w:lvl w:ilvl="4" w:tentative="0">
      <w:start w:val="1"/>
      <w:numFmt w:val="lowerLetter"/>
      <w:lvlText w:val="%5)"/>
      <w:lvlJc w:val="left"/>
      <w:pPr>
        <w:tabs>
          <w:tab w:val="left" w:pos="3059"/>
        </w:tabs>
        <w:ind w:left="3059" w:hanging="420"/>
      </w:pPr>
    </w:lvl>
    <w:lvl w:ilvl="5" w:tentative="0">
      <w:start w:val="1"/>
      <w:numFmt w:val="lowerRoman"/>
      <w:lvlText w:val="%6."/>
      <w:lvlJc w:val="right"/>
      <w:pPr>
        <w:tabs>
          <w:tab w:val="left" w:pos="3479"/>
        </w:tabs>
        <w:ind w:left="3479" w:hanging="420"/>
      </w:pPr>
    </w:lvl>
    <w:lvl w:ilvl="6" w:tentative="0">
      <w:start w:val="1"/>
      <w:numFmt w:val="decimal"/>
      <w:lvlText w:val="%7."/>
      <w:lvlJc w:val="left"/>
      <w:pPr>
        <w:tabs>
          <w:tab w:val="left" w:pos="3899"/>
        </w:tabs>
        <w:ind w:left="3899" w:hanging="420"/>
      </w:pPr>
    </w:lvl>
    <w:lvl w:ilvl="7" w:tentative="0">
      <w:start w:val="1"/>
      <w:numFmt w:val="lowerLetter"/>
      <w:lvlText w:val="%8)"/>
      <w:lvlJc w:val="left"/>
      <w:pPr>
        <w:tabs>
          <w:tab w:val="left" w:pos="4319"/>
        </w:tabs>
        <w:ind w:left="4319" w:hanging="420"/>
      </w:pPr>
    </w:lvl>
    <w:lvl w:ilvl="8" w:tentative="0">
      <w:start w:val="1"/>
      <w:numFmt w:val="lowerRoman"/>
      <w:lvlText w:val="%9."/>
      <w:lvlJc w:val="right"/>
      <w:pPr>
        <w:tabs>
          <w:tab w:val="left" w:pos="4739"/>
        </w:tabs>
        <w:ind w:left="4739" w:hanging="420"/>
      </w:pPr>
    </w:lvl>
  </w:abstractNum>
  <w:abstractNum w:abstractNumId="4">
    <w:nsid w:val="00000020"/>
    <w:multiLevelType w:val="multilevel"/>
    <w:tmpl w:val="00000020"/>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22"/>
    <w:multiLevelType w:val="multilevel"/>
    <w:tmpl w:val="00000022"/>
    <w:lvl w:ilvl="0" w:tentative="0">
      <w:start w:val="1"/>
      <w:numFmt w:val="lowerLetter"/>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31"/>
    <w:multiLevelType w:val="multilevel"/>
    <w:tmpl w:val="00000031"/>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lowerLetter"/>
      <w:lvlText w:val="%4."/>
      <w:lvlJc w:val="left"/>
      <w:pPr>
        <w:tabs>
          <w:tab w:val="left" w:pos="2100"/>
        </w:tabs>
        <w:ind w:left="2100" w:hanging="360"/>
      </w:pPr>
      <w:rPr>
        <w:rFonts w:hint="eastAsia"/>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38"/>
    <w:multiLevelType w:val="multilevel"/>
    <w:tmpl w:val="00000038"/>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702"/>
        </w:tabs>
        <w:ind w:left="1702" w:hanging="420"/>
      </w:pPr>
    </w:lvl>
    <w:lvl w:ilvl="2" w:tentative="0">
      <w:start w:val="1"/>
      <w:numFmt w:val="lowerRoman"/>
      <w:lvlText w:val="%3."/>
      <w:lvlJc w:val="right"/>
      <w:pPr>
        <w:tabs>
          <w:tab w:val="left" w:pos="2122"/>
        </w:tabs>
        <w:ind w:left="2122" w:hanging="420"/>
      </w:pPr>
    </w:lvl>
    <w:lvl w:ilvl="3" w:tentative="0">
      <w:start w:val="1"/>
      <w:numFmt w:val="decimal"/>
      <w:lvlText w:val="%4."/>
      <w:lvlJc w:val="left"/>
      <w:pPr>
        <w:tabs>
          <w:tab w:val="left" w:pos="2542"/>
        </w:tabs>
        <w:ind w:left="2542" w:hanging="420"/>
      </w:pPr>
    </w:lvl>
    <w:lvl w:ilvl="4" w:tentative="0">
      <w:start w:val="1"/>
      <w:numFmt w:val="lowerLetter"/>
      <w:lvlText w:val="%5)"/>
      <w:lvlJc w:val="left"/>
      <w:pPr>
        <w:tabs>
          <w:tab w:val="left" w:pos="2962"/>
        </w:tabs>
        <w:ind w:left="2962" w:hanging="420"/>
      </w:pPr>
    </w:lvl>
    <w:lvl w:ilvl="5" w:tentative="0">
      <w:start w:val="1"/>
      <w:numFmt w:val="lowerRoman"/>
      <w:lvlText w:val="%6."/>
      <w:lvlJc w:val="right"/>
      <w:pPr>
        <w:tabs>
          <w:tab w:val="left" w:pos="3382"/>
        </w:tabs>
        <w:ind w:left="3382" w:hanging="420"/>
      </w:pPr>
    </w:lvl>
    <w:lvl w:ilvl="6" w:tentative="0">
      <w:start w:val="1"/>
      <w:numFmt w:val="decimal"/>
      <w:lvlText w:val="%7."/>
      <w:lvlJc w:val="left"/>
      <w:pPr>
        <w:tabs>
          <w:tab w:val="left" w:pos="3802"/>
        </w:tabs>
        <w:ind w:left="3802" w:hanging="420"/>
      </w:pPr>
    </w:lvl>
    <w:lvl w:ilvl="7" w:tentative="0">
      <w:start w:val="1"/>
      <w:numFmt w:val="lowerLetter"/>
      <w:lvlText w:val="%8)"/>
      <w:lvlJc w:val="left"/>
      <w:pPr>
        <w:tabs>
          <w:tab w:val="left" w:pos="4222"/>
        </w:tabs>
        <w:ind w:left="4222" w:hanging="420"/>
      </w:pPr>
    </w:lvl>
    <w:lvl w:ilvl="8" w:tentative="0">
      <w:start w:val="1"/>
      <w:numFmt w:val="lowerRoman"/>
      <w:lvlText w:val="%9."/>
      <w:lvlJc w:val="right"/>
      <w:pPr>
        <w:tabs>
          <w:tab w:val="left" w:pos="4642"/>
        </w:tabs>
        <w:ind w:left="4642" w:hanging="420"/>
      </w:pPr>
    </w:lvl>
  </w:abstractNum>
  <w:abstractNum w:abstractNumId="8">
    <w:nsid w:val="0053208E"/>
    <w:multiLevelType w:val="multilevel"/>
    <w:tmpl w:val="0053208E"/>
    <w:lvl w:ilvl="0" w:tentative="0">
      <w:start w:val="1"/>
      <w:numFmt w:val="decimal"/>
      <w:lvlText w:val="%1)"/>
      <w:lvlJc w:val="left"/>
      <w:pPr>
        <w:tabs>
          <w:tab w:val="left" w:pos="420"/>
        </w:tabs>
        <w:ind w:left="420" w:hanging="420"/>
      </w:pPr>
    </w:lvl>
    <w:lvl w:ilvl="1" w:tentative="0">
      <w:start w:val="1"/>
      <w:numFmt w:val="japaneseCounting"/>
      <w:lvlText w:val="第%2章"/>
      <w:lvlJc w:val="left"/>
      <w:pPr>
        <w:tabs>
          <w:tab w:val="left" w:pos="1860"/>
        </w:tabs>
        <w:ind w:left="1860" w:hanging="9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296FDAAF"/>
    <w:multiLevelType w:val="singleLevel"/>
    <w:tmpl w:val="296FDAAF"/>
    <w:lvl w:ilvl="0" w:tentative="0">
      <w:start w:val="1"/>
      <w:numFmt w:val="decimal"/>
      <w:suff w:val="nothing"/>
      <w:lvlText w:val="%1、"/>
      <w:lvlJc w:val="left"/>
    </w:lvl>
  </w:abstractNum>
  <w:abstractNum w:abstractNumId="10">
    <w:nsid w:val="43453541"/>
    <w:multiLevelType w:val="singleLevel"/>
    <w:tmpl w:val="43453541"/>
    <w:lvl w:ilvl="0" w:tentative="0">
      <w:start w:val="1"/>
      <w:numFmt w:val="decimal"/>
      <w:suff w:val="nothing"/>
      <w:lvlText w:val="%1、"/>
      <w:lvlJc w:val="left"/>
    </w:lvl>
  </w:abstractNum>
  <w:abstractNum w:abstractNumId="11">
    <w:nsid w:val="4FA44DB9"/>
    <w:multiLevelType w:val="singleLevel"/>
    <w:tmpl w:val="4FA44DB9"/>
    <w:lvl w:ilvl="0" w:tentative="0">
      <w:start w:val="9"/>
      <w:numFmt w:val="chineseCounting"/>
      <w:suff w:val="nothing"/>
      <w:lvlText w:val="%1、"/>
      <w:lvlJc w:val="left"/>
      <w:rPr>
        <w:rFonts w:hint="eastAsia"/>
      </w:rPr>
    </w:lvl>
  </w:abstractNum>
  <w:abstractNum w:abstractNumId="12">
    <w:nsid w:val="5B488696"/>
    <w:multiLevelType w:val="singleLevel"/>
    <w:tmpl w:val="5B488696"/>
    <w:lvl w:ilvl="0" w:tentative="0">
      <w:start w:val="4"/>
      <w:numFmt w:val="chineseCounting"/>
      <w:suff w:val="nothing"/>
      <w:lvlText w:val="%1、"/>
      <w:lvlJc w:val="left"/>
      <w:rPr>
        <w:rFonts w:hint="eastAsia"/>
      </w:rPr>
    </w:lvl>
  </w:abstractNum>
  <w:num w:numId="1">
    <w:abstractNumId w:val="0"/>
  </w:num>
  <w:num w:numId="2">
    <w:abstractNumId w:val="11"/>
  </w:num>
  <w:num w:numId="3">
    <w:abstractNumId w:val="2"/>
  </w:num>
  <w:num w:numId="4">
    <w:abstractNumId w:val="8"/>
  </w:num>
  <w:num w:numId="5">
    <w:abstractNumId w:val="6"/>
  </w:num>
  <w:num w:numId="6">
    <w:abstractNumId w:val="5"/>
  </w:num>
  <w:num w:numId="7">
    <w:abstractNumId w:val="1"/>
  </w:num>
  <w:num w:numId="8">
    <w:abstractNumId w:val="10"/>
  </w:num>
  <w:num w:numId="9">
    <w:abstractNumId w:val="12"/>
  </w:num>
  <w:num w:numId="10">
    <w:abstractNumId w:val="9"/>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62"/>
    <w:rsid w:val="00007920"/>
    <w:rsid w:val="00012BE8"/>
    <w:rsid w:val="000134C2"/>
    <w:rsid w:val="00015AC6"/>
    <w:rsid w:val="0001745D"/>
    <w:rsid w:val="000300A2"/>
    <w:rsid w:val="00030CD3"/>
    <w:rsid w:val="000326EC"/>
    <w:rsid w:val="0003744E"/>
    <w:rsid w:val="000425C4"/>
    <w:rsid w:val="00044941"/>
    <w:rsid w:val="00044C44"/>
    <w:rsid w:val="00044DFE"/>
    <w:rsid w:val="000561DB"/>
    <w:rsid w:val="00056F8D"/>
    <w:rsid w:val="000572ED"/>
    <w:rsid w:val="00064659"/>
    <w:rsid w:val="00074822"/>
    <w:rsid w:val="000762BE"/>
    <w:rsid w:val="00077BE7"/>
    <w:rsid w:val="00080712"/>
    <w:rsid w:val="000840D0"/>
    <w:rsid w:val="00085720"/>
    <w:rsid w:val="00091C15"/>
    <w:rsid w:val="00093696"/>
    <w:rsid w:val="00095432"/>
    <w:rsid w:val="000957CA"/>
    <w:rsid w:val="00097AB9"/>
    <w:rsid w:val="000A1434"/>
    <w:rsid w:val="000B0BB0"/>
    <w:rsid w:val="000B27C0"/>
    <w:rsid w:val="000B6DC4"/>
    <w:rsid w:val="000B7EFE"/>
    <w:rsid w:val="000C5B00"/>
    <w:rsid w:val="000C5CB1"/>
    <w:rsid w:val="000D01E3"/>
    <w:rsid w:val="000D24CC"/>
    <w:rsid w:val="000E1319"/>
    <w:rsid w:val="000E6723"/>
    <w:rsid w:val="000E710A"/>
    <w:rsid w:val="000F241F"/>
    <w:rsid w:val="000F48FB"/>
    <w:rsid w:val="000F4E87"/>
    <w:rsid w:val="000F785C"/>
    <w:rsid w:val="00105431"/>
    <w:rsid w:val="00111496"/>
    <w:rsid w:val="00113A9F"/>
    <w:rsid w:val="001212C9"/>
    <w:rsid w:val="001278F8"/>
    <w:rsid w:val="001309EF"/>
    <w:rsid w:val="00130F6D"/>
    <w:rsid w:val="00132706"/>
    <w:rsid w:val="0013578E"/>
    <w:rsid w:val="001412A7"/>
    <w:rsid w:val="00141BFD"/>
    <w:rsid w:val="00144719"/>
    <w:rsid w:val="00144754"/>
    <w:rsid w:val="00146F09"/>
    <w:rsid w:val="001475A7"/>
    <w:rsid w:val="00147786"/>
    <w:rsid w:val="00150206"/>
    <w:rsid w:val="001550ED"/>
    <w:rsid w:val="001563CD"/>
    <w:rsid w:val="00156E20"/>
    <w:rsid w:val="001617DD"/>
    <w:rsid w:val="00172A27"/>
    <w:rsid w:val="00173D62"/>
    <w:rsid w:val="00174DA2"/>
    <w:rsid w:val="00176C6A"/>
    <w:rsid w:val="00177A5F"/>
    <w:rsid w:val="001861BA"/>
    <w:rsid w:val="00187AD6"/>
    <w:rsid w:val="00190694"/>
    <w:rsid w:val="001A19EB"/>
    <w:rsid w:val="001A2B13"/>
    <w:rsid w:val="001A3056"/>
    <w:rsid w:val="001A3078"/>
    <w:rsid w:val="001A3DD3"/>
    <w:rsid w:val="001A56E8"/>
    <w:rsid w:val="001A71FF"/>
    <w:rsid w:val="001B24FA"/>
    <w:rsid w:val="001B548F"/>
    <w:rsid w:val="001C2FC8"/>
    <w:rsid w:val="001C4F64"/>
    <w:rsid w:val="001C65E2"/>
    <w:rsid w:val="001C7834"/>
    <w:rsid w:val="001C786C"/>
    <w:rsid w:val="001D16E5"/>
    <w:rsid w:val="001D6BE7"/>
    <w:rsid w:val="001D6D0C"/>
    <w:rsid w:val="001D792A"/>
    <w:rsid w:val="001E030C"/>
    <w:rsid w:val="001E279F"/>
    <w:rsid w:val="001E56E5"/>
    <w:rsid w:val="001F2D4A"/>
    <w:rsid w:val="001F5F73"/>
    <w:rsid w:val="00203FE0"/>
    <w:rsid w:val="00205725"/>
    <w:rsid w:val="00205F0B"/>
    <w:rsid w:val="00212CDC"/>
    <w:rsid w:val="00213D2A"/>
    <w:rsid w:val="00216E62"/>
    <w:rsid w:val="00220591"/>
    <w:rsid w:val="002212C1"/>
    <w:rsid w:val="00223679"/>
    <w:rsid w:val="002242F9"/>
    <w:rsid w:val="00225D8B"/>
    <w:rsid w:val="002271B3"/>
    <w:rsid w:val="00230C10"/>
    <w:rsid w:val="00251ABE"/>
    <w:rsid w:val="002521CC"/>
    <w:rsid w:val="00254314"/>
    <w:rsid w:val="00256BCC"/>
    <w:rsid w:val="002645CF"/>
    <w:rsid w:val="00266582"/>
    <w:rsid w:val="00270E8F"/>
    <w:rsid w:val="002721C4"/>
    <w:rsid w:val="00276B32"/>
    <w:rsid w:val="00281376"/>
    <w:rsid w:val="002835EF"/>
    <w:rsid w:val="00286E60"/>
    <w:rsid w:val="00292777"/>
    <w:rsid w:val="00293ABE"/>
    <w:rsid w:val="00297F93"/>
    <w:rsid w:val="002A0C46"/>
    <w:rsid w:val="002A1EFF"/>
    <w:rsid w:val="002A3D39"/>
    <w:rsid w:val="002A3EC0"/>
    <w:rsid w:val="002A412B"/>
    <w:rsid w:val="002B2E11"/>
    <w:rsid w:val="002B35DD"/>
    <w:rsid w:val="002B3C58"/>
    <w:rsid w:val="002B6DDB"/>
    <w:rsid w:val="002C39E4"/>
    <w:rsid w:val="002D15FA"/>
    <w:rsid w:val="002E045A"/>
    <w:rsid w:val="002E346C"/>
    <w:rsid w:val="002E6C16"/>
    <w:rsid w:val="002E7857"/>
    <w:rsid w:val="002F6CFA"/>
    <w:rsid w:val="0030007A"/>
    <w:rsid w:val="00304630"/>
    <w:rsid w:val="00306446"/>
    <w:rsid w:val="003134F8"/>
    <w:rsid w:val="00316374"/>
    <w:rsid w:val="00327017"/>
    <w:rsid w:val="003344D8"/>
    <w:rsid w:val="003367AD"/>
    <w:rsid w:val="003369BC"/>
    <w:rsid w:val="00347A32"/>
    <w:rsid w:val="0035601A"/>
    <w:rsid w:val="003621E8"/>
    <w:rsid w:val="003623AC"/>
    <w:rsid w:val="003623E0"/>
    <w:rsid w:val="00365241"/>
    <w:rsid w:val="00366DF2"/>
    <w:rsid w:val="00381C44"/>
    <w:rsid w:val="003825DD"/>
    <w:rsid w:val="00383614"/>
    <w:rsid w:val="00383EA7"/>
    <w:rsid w:val="0038561E"/>
    <w:rsid w:val="00385A94"/>
    <w:rsid w:val="00387C7A"/>
    <w:rsid w:val="00394886"/>
    <w:rsid w:val="0039625A"/>
    <w:rsid w:val="003A12A6"/>
    <w:rsid w:val="003A1CFE"/>
    <w:rsid w:val="003A71EE"/>
    <w:rsid w:val="003B3551"/>
    <w:rsid w:val="003B3B4E"/>
    <w:rsid w:val="003B48C1"/>
    <w:rsid w:val="003B5558"/>
    <w:rsid w:val="003C10D6"/>
    <w:rsid w:val="003C263E"/>
    <w:rsid w:val="003C4D33"/>
    <w:rsid w:val="003C767F"/>
    <w:rsid w:val="003D3A5D"/>
    <w:rsid w:val="003D3AB1"/>
    <w:rsid w:val="003D71BB"/>
    <w:rsid w:val="003E50FA"/>
    <w:rsid w:val="003F0485"/>
    <w:rsid w:val="003F3A6B"/>
    <w:rsid w:val="004035C8"/>
    <w:rsid w:val="00404CDB"/>
    <w:rsid w:val="00405282"/>
    <w:rsid w:val="00411B9B"/>
    <w:rsid w:val="004231DF"/>
    <w:rsid w:val="00425645"/>
    <w:rsid w:val="00431E73"/>
    <w:rsid w:val="00432B42"/>
    <w:rsid w:val="00437203"/>
    <w:rsid w:val="004402D4"/>
    <w:rsid w:val="00442F2A"/>
    <w:rsid w:val="004445ED"/>
    <w:rsid w:val="004504AC"/>
    <w:rsid w:val="00452655"/>
    <w:rsid w:val="00453D3A"/>
    <w:rsid w:val="0046072A"/>
    <w:rsid w:val="004647C1"/>
    <w:rsid w:val="00464AA7"/>
    <w:rsid w:val="00466197"/>
    <w:rsid w:val="00470DA3"/>
    <w:rsid w:val="00473AE4"/>
    <w:rsid w:val="00475AEC"/>
    <w:rsid w:val="00475B3F"/>
    <w:rsid w:val="00484B66"/>
    <w:rsid w:val="00484DC7"/>
    <w:rsid w:val="00490C9F"/>
    <w:rsid w:val="004910F5"/>
    <w:rsid w:val="0049307F"/>
    <w:rsid w:val="0049748E"/>
    <w:rsid w:val="004A0062"/>
    <w:rsid w:val="004A3D31"/>
    <w:rsid w:val="004A3D9A"/>
    <w:rsid w:val="004A4C9C"/>
    <w:rsid w:val="004A6CD2"/>
    <w:rsid w:val="004B43B7"/>
    <w:rsid w:val="004B719E"/>
    <w:rsid w:val="004B738A"/>
    <w:rsid w:val="004C0CB2"/>
    <w:rsid w:val="004C1156"/>
    <w:rsid w:val="004C187A"/>
    <w:rsid w:val="004C2550"/>
    <w:rsid w:val="004C67D6"/>
    <w:rsid w:val="004D2176"/>
    <w:rsid w:val="004D33AD"/>
    <w:rsid w:val="004D55EB"/>
    <w:rsid w:val="004E3423"/>
    <w:rsid w:val="004E4C58"/>
    <w:rsid w:val="004E58ED"/>
    <w:rsid w:val="004F0139"/>
    <w:rsid w:val="004F144B"/>
    <w:rsid w:val="004F5768"/>
    <w:rsid w:val="004F57D2"/>
    <w:rsid w:val="00500340"/>
    <w:rsid w:val="00501831"/>
    <w:rsid w:val="005101B7"/>
    <w:rsid w:val="005109F5"/>
    <w:rsid w:val="00515ADB"/>
    <w:rsid w:val="00520E23"/>
    <w:rsid w:val="00525267"/>
    <w:rsid w:val="00525B6D"/>
    <w:rsid w:val="00526022"/>
    <w:rsid w:val="00533E2C"/>
    <w:rsid w:val="00537CFE"/>
    <w:rsid w:val="00541813"/>
    <w:rsid w:val="00541D00"/>
    <w:rsid w:val="00544A8F"/>
    <w:rsid w:val="005508C2"/>
    <w:rsid w:val="00554B48"/>
    <w:rsid w:val="00562D26"/>
    <w:rsid w:val="00563ED7"/>
    <w:rsid w:val="00563F8E"/>
    <w:rsid w:val="00564901"/>
    <w:rsid w:val="005658C0"/>
    <w:rsid w:val="0056740E"/>
    <w:rsid w:val="005725D3"/>
    <w:rsid w:val="00573D99"/>
    <w:rsid w:val="00582A82"/>
    <w:rsid w:val="00585391"/>
    <w:rsid w:val="00585F96"/>
    <w:rsid w:val="0059154B"/>
    <w:rsid w:val="005935C3"/>
    <w:rsid w:val="0059410D"/>
    <w:rsid w:val="0059436D"/>
    <w:rsid w:val="00596AA3"/>
    <w:rsid w:val="00596E9D"/>
    <w:rsid w:val="005A173C"/>
    <w:rsid w:val="005A23CA"/>
    <w:rsid w:val="005A24CB"/>
    <w:rsid w:val="005A50C7"/>
    <w:rsid w:val="005A71E8"/>
    <w:rsid w:val="005B2061"/>
    <w:rsid w:val="005B3890"/>
    <w:rsid w:val="005B4804"/>
    <w:rsid w:val="005B6556"/>
    <w:rsid w:val="005B6923"/>
    <w:rsid w:val="005C4D45"/>
    <w:rsid w:val="005C61DE"/>
    <w:rsid w:val="005C696A"/>
    <w:rsid w:val="005D71C1"/>
    <w:rsid w:val="005E15A9"/>
    <w:rsid w:val="005E5968"/>
    <w:rsid w:val="005E687A"/>
    <w:rsid w:val="005E793D"/>
    <w:rsid w:val="005E7B1F"/>
    <w:rsid w:val="005F2131"/>
    <w:rsid w:val="005F4AC9"/>
    <w:rsid w:val="005F5EBC"/>
    <w:rsid w:val="005F5FE4"/>
    <w:rsid w:val="005F7D17"/>
    <w:rsid w:val="0060123A"/>
    <w:rsid w:val="006023AF"/>
    <w:rsid w:val="00614814"/>
    <w:rsid w:val="0062195A"/>
    <w:rsid w:val="00622BE1"/>
    <w:rsid w:val="00626AE9"/>
    <w:rsid w:val="00627CFD"/>
    <w:rsid w:val="00631905"/>
    <w:rsid w:val="00631AE5"/>
    <w:rsid w:val="00636661"/>
    <w:rsid w:val="0064055D"/>
    <w:rsid w:val="0064586D"/>
    <w:rsid w:val="0064685C"/>
    <w:rsid w:val="00646B4F"/>
    <w:rsid w:val="00652486"/>
    <w:rsid w:val="00657E8B"/>
    <w:rsid w:val="00661D83"/>
    <w:rsid w:val="00667EBA"/>
    <w:rsid w:val="006719F6"/>
    <w:rsid w:val="00674F59"/>
    <w:rsid w:val="00675731"/>
    <w:rsid w:val="006837B8"/>
    <w:rsid w:val="006843B6"/>
    <w:rsid w:val="0069335C"/>
    <w:rsid w:val="00695474"/>
    <w:rsid w:val="00697448"/>
    <w:rsid w:val="00697D59"/>
    <w:rsid w:val="006A1D80"/>
    <w:rsid w:val="006A20BB"/>
    <w:rsid w:val="006A48A2"/>
    <w:rsid w:val="006A5354"/>
    <w:rsid w:val="006B74E2"/>
    <w:rsid w:val="006C13E9"/>
    <w:rsid w:val="006C211E"/>
    <w:rsid w:val="006C2CA1"/>
    <w:rsid w:val="006C5DB3"/>
    <w:rsid w:val="006C6A9D"/>
    <w:rsid w:val="006D1766"/>
    <w:rsid w:val="006D2F02"/>
    <w:rsid w:val="006D32D5"/>
    <w:rsid w:val="006D3CBC"/>
    <w:rsid w:val="006D3D7E"/>
    <w:rsid w:val="006D505D"/>
    <w:rsid w:val="006E252B"/>
    <w:rsid w:val="006E5625"/>
    <w:rsid w:val="006E5B44"/>
    <w:rsid w:val="006F3DDD"/>
    <w:rsid w:val="006F6FB6"/>
    <w:rsid w:val="00701F39"/>
    <w:rsid w:val="007032FF"/>
    <w:rsid w:val="00712D6E"/>
    <w:rsid w:val="00714CA1"/>
    <w:rsid w:val="00722E54"/>
    <w:rsid w:val="00723F92"/>
    <w:rsid w:val="00726D9F"/>
    <w:rsid w:val="00731C61"/>
    <w:rsid w:val="007333D9"/>
    <w:rsid w:val="0073365A"/>
    <w:rsid w:val="00734D08"/>
    <w:rsid w:val="00743F97"/>
    <w:rsid w:val="00744841"/>
    <w:rsid w:val="00746474"/>
    <w:rsid w:val="007472D3"/>
    <w:rsid w:val="00753438"/>
    <w:rsid w:val="00762AB2"/>
    <w:rsid w:val="0076449C"/>
    <w:rsid w:val="0077118D"/>
    <w:rsid w:val="00771C0E"/>
    <w:rsid w:val="007750DA"/>
    <w:rsid w:val="00783FED"/>
    <w:rsid w:val="00792E28"/>
    <w:rsid w:val="00797EA7"/>
    <w:rsid w:val="007A6C8B"/>
    <w:rsid w:val="007B6A5E"/>
    <w:rsid w:val="007C6C7A"/>
    <w:rsid w:val="007C7EB0"/>
    <w:rsid w:val="007D091D"/>
    <w:rsid w:val="007D3A63"/>
    <w:rsid w:val="007D3AF5"/>
    <w:rsid w:val="007D6355"/>
    <w:rsid w:val="007D65FD"/>
    <w:rsid w:val="007D7AD0"/>
    <w:rsid w:val="007E094B"/>
    <w:rsid w:val="007E470F"/>
    <w:rsid w:val="007E4E80"/>
    <w:rsid w:val="007E6D7F"/>
    <w:rsid w:val="007E704C"/>
    <w:rsid w:val="007E7786"/>
    <w:rsid w:val="007F1C9D"/>
    <w:rsid w:val="007F209C"/>
    <w:rsid w:val="007F3998"/>
    <w:rsid w:val="007F4EA6"/>
    <w:rsid w:val="007F57DD"/>
    <w:rsid w:val="007F7321"/>
    <w:rsid w:val="007F7D07"/>
    <w:rsid w:val="00800CB7"/>
    <w:rsid w:val="00802340"/>
    <w:rsid w:val="00805FEA"/>
    <w:rsid w:val="008114BE"/>
    <w:rsid w:val="00814CC1"/>
    <w:rsid w:val="00815560"/>
    <w:rsid w:val="00823C8F"/>
    <w:rsid w:val="00824A19"/>
    <w:rsid w:val="00826777"/>
    <w:rsid w:val="00830002"/>
    <w:rsid w:val="0083404E"/>
    <w:rsid w:val="00836964"/>
    <w:rsid w:val="00837439"/>
    <w:rsid w:val="008411F5"/>
    <w:rsid w:val="008437CB"/>
    <w:rsid w:val="00844A52"/>
    <w:rsid w:val="008476E8"/>
    <w:rsid w:val="00861722"/>
    <w:rsid w:val="00862FAB"/>
    <w:rsid w:val="008721FA"/>
    <w:rsid w:val="00873FCD"/>
    <w:rsid w:val="00874E22"/>
    <w:rsid w:val="0088317F"/>
    <w:rsid w:val="00886EA8"/>
    <w:rsid w:val="00892FAC"/>
    <w:rsid w:val="008A12FE"/>
    <w:rsid w:val="008B40CF"/>
    <w:rsid w:val="008B646D"/>
    <w:rsid w:val="008C1738"/>
    <w:rsid w:val="008C6313"/>
    <w:rsid w:val="008C7A6E"/>
    <w:rsid w:val="008D028F"/>
    <w:rsid w:val="008D0B14"/>
    <w:rsid w:val="008D1923"/>
    <w:rsid w:val="008D6FA2"/>
    <w:rsid w:val="008E314B"/>
    <w:rsid w:val="008F01BF"/>
    <w:rsid w:val="008F74B3"/>
    <w:rsid w:val="00900E0D"/>
    <w:rsid w:val="009014A6"/>
    <w:rsid w:val="009026FA"/>
    <w:rsid w:val="00906752"/>
    <w:rsid w:val="00906C50"/>
    <w:rsid w:val="00912CDE"/>
    <w:rsid w:val="00914D01"/>
    <w:rsid w:val="00916FC2"/>
    <w:rsid w:val="00922678"/>
    <w:rsid w:val="009340A1"/>
    <w:rsid w:val="00947FD8"/>
    <w:rsid w:val="00950FA2"/>
    <w:rsid w:val="009516F0"/>
    <w:rsid w:val="00953E77"/>
    <w:rsid w:val="00956AA0"/>
    <w:rsid w:val="0095762C"/>
    <w:rsid w:val="00964257"/>
    <w:rsid w:val="00970B3D"/>
    <w:rsid w:val="00973505"/>
    <w:rsid w:val="00974B47"/>
    <w:rsid w:val="0097768E"/>
    <w:rsid w:val="00982869"/>
    <w:rsid w:val="009875ED"/>
    <w:rsid w:val="009918F9"/>
    <w:rsid w:val="009A0C10"/>
    <w:rsid w:val="009A23B1"/>
    <w:rsid w:val="009A2691"/>
    <w:rsid w:val="009A3438"/>
    <w:rsid w:val="009B182A"/>
    <w:rsid w:val="009B192B"/>
    <w:rsid w:val="009B2F47"/>
    <w:rsid w:val="009B4898"/>
    <w:rsid w:val="009B52B6"/>
    <w:rsid w:val="009B6BA5"/>
    <w:rsid w:val="009C09A9"/>
    <w:rsid w:val="009C1FF1"/>
    <w:rsid w:val="009C39AB"/>
    <w:rsid w:val="009C5530"/>
    <w:rsid w:val="009C5B41"/>
    <w:rsid w:val="009C6A8E"/>
    <w:rsid w:val="009D2586"/>
    <w:rsid w:val="009D2BCB"/>
    <w:rsid w:val="009D34A9"/>
    <w:rsid w:val="009D3A0A"/>
    <w:rsid w:val="009E2442"/>
    <w:rsid w:val="009E41B7"/>
    <w:rsid w:val="009E5598"/>
    <w:rsid w:val="009F424F"/>
    <w:rsid w:val="00A00C89"/>
    <w:rsid w:val="00A046C2"/>
    <w:rsid w:val="00A05058"/>
    <w:rsid w:val="00A226B3"/>
    <w:rsid w:val="00A40F9D"/>
    <w:rsid w:val="00A424CE"/>
    <w:rsid w:val="00A4440D"/>
    <w:rsid w:val="00A51532"/>
    <w:rsid w:val="00A53809"/>
    <w:rsid w:val="00A57288"/>
    <w:rsid w:val="00A6432D"/>
    <w:rsid w:val="00A659FA"/>
    <w:rsid w:val="00A66344"/>
    <w:rsid w:val="00A67EA2"/>
    <w:rsid w:val="00A80FBA"/>
    <w:rsid w:val="00A838C5"/>
    <w:rsid w:val="00A83C8E"/>
    <w:rsid w:val="00A9161C"/>
    <w:rsid w:val="00A91855"/>
    <w:rsid w:val="00A92D4F"/>
    <w:rsid w:val="00AA08CB"/>
    <w:rsid w:val="00AA47D1"/>
    <w:rsid w:val="00AB0065"/>
    <w:rsid w:val="00AB1062"/>
    <w:rsid w:val="00AB262B"/>
    <w:rsid w:val="00AC3490"/>
    <w:rsid w:val="00AC4537"/>
    <w:rsid w:val="00AC5661"/>
    <w:rsid w:val="00AD423D"/>
    <w:rsid w:val="00AD56D4"/>
    <w:rsid w:val="00AE414A"/>
    <w:rsid w:val="00AE47AC"/>
    <w:rsid w:val="00AE49BC"/>
    <w:rsid w:val="00AE642C"/>
    <w:rsid w:val="00AF7594"/>
    <w:rsid w:val="00B00E82"/>
    <w:rsid w:val="00B01C4D"/>
    <w:rsid w:val="00B01EE1"/>
    <w:rsid w:val="00B01F6C"/>
    <w:rsid w:val="00B03127"/>
    <w:rsid w:val="00B052B4"/>
    <w:rsid w:val="00B06749"/>
    <w:rsid w:val="00B1403C"/>
    <w:rsid w:val="00B1497E"/>
    <w:rsid w:val="00B20D16"/>
    <w:rsid w:val="00B23726"/>
    <w:rsid w:val="00B24CC7"/>
    <w:rsid w:val="00B25604"/>
    <w:rsid w:val="00B26C44"/>
    <w:rsid w:val="00B27C2A"/>
    <w:rsid w:val="00B30772"/>
    <w:rsid w:val="00B34974"/>
    <w:rsid w:val="00B35327"/>
    <w:rsid w:val="00B35C20"/>
    <w:rsid w:val="00B369C7"/>
    <w:rsid w:val="00B412C3"/>
    <w:rsid w:val="00B42CF8"/>
    <w:rsid w:val="00B44AD8"/>
    <w:rsid w:val="00B44B00"/>
    <w:rsid w:val="00B53983"/>
    <w:rsid w:val="00B67AFE"/>
    <w:rsid w:val="00B708A5"/>
    <w:rsid w:val="00B76068"/>
    <w:rsid w:val="00B77DDF"/>
    <w:rsid w:val="00B826AB"/>
    <w:rsid w:val="00B836CB"/>
    <w:rsid w:val="00B938F7"/>
    <w:rsid w:val="00B97776"/>
    <w:rsid w:val="00B97E58"/>
    <w:rsid w:val="00BA67ED"/>
    <w:rsid w:val="00BB1943"/>
    <w:rsid w:val="00BC3725"/>
    <w:rsid w:val="00BC4AA5"/>
    <w:rsid w:val="00BC710F"/>
    <w:rsid w:val="00BD0071"/>
    <w:rsid w:val="00BD07D2"/>
    <w:rsid w:val="00BD2160"/>
    <w:rsid w:val="00BD6059"/>
    <w:rsid w:val="00BD62C1"/>
    <w:rsid w:val="00BE3C73"/>
    <w:rsid w:val="00BF0B45"/>
    <w:rsid w:val="00BF2D29"/>
    <w:rsid w:val="00BF4C8D"/>
    <w:rsid w:val="00BF664B"/>
    <w:rsid w:val="00BF6EA8"/>
    <w:rsid w:val="00C02454"/>
    <w:rsid w:val="00C10738"/>
    <w:rsid w:val="00C10A30"/>
    <w:rsid w:val="00C11371"/>
    <w:rsid w:val="00C16410"/>
    <w:rsid w:val="00C24EDF"/>
    <w:rsid w:val="00C3238F"/>
    <w:rsid w:val="00C34A67"/>
    <w:rsid w:val="00C40EC0"/>
    <w:rsid w:val="00C46DC5"/>
    <w:rsid w:val="00C50EE4"/>
    <w:rsid w:val="00C57E21"/>
    <w:rsid w:val="00C62FD0"/>
    <w:rsid w:val="00C66A84"/>
    <w:rsid w:val="00C714B0"/>
    <w:rsid w:val="00C730C4"/>
    <w:rsid w:val="00C751D7"/>
    <w:rsid w:val="00C75DA9"/>
    <w:rsid w:val="00C7613F"/>
    <w:rsid w:val="00C804FB"/>
    <w:rsid w:val="00C840F0"/>
    <w:rsid w:val="00C85363"/>
    <w:rsid w:val="00C85743"/>
    <w:rsid w:val="00C86DE0"/>
    <w:rsid w:val="00C92325"/>
    <w:rsid w:val="00C93A24"/>
    <w:rsid w:val="00C94D6A"/>
    <w:rsid w:val="00C951F9"/>
    <w:rsid w:val="00CA1810"/>
    <w:rsid w:val="00CA23ED"/>
    <w:rsid w:val="00CA4D7E"/>
    <w:rsid w:val="00CC01CD"/>
    <w:rsid w:val="00CC28B4"/>
    <w:rsid w:val="00CC2EB4"/>
    <w:rsid w:val="00CC5512"/>
    <w:rsid w:val="00CC5BB8"/>
    <w:rsid w:val="00CC5EC8"/>
    <w:rsid w:val="00CC6B8E"/>
    <w:rsid w:val="00CD08A2"/>
    <w:rsid w:val="00CD22B7"/>
    <w:rsid w:val="00CD37EE"/>
    <w:rsid w:val="00CD4582"/>
    <w:rsid w:val="00CD65BF"/>
    <w:rsid w:val="00CD7B7A"/>
    <w:rsid w:val="00CE1045"/>
    <w:rsid w:val="00CE4500"/>
    <w:rsid w:val="00CF15D9"/>
    <w:rsid w:val="00CF32A7"/>
    <w:rsid w:val="00CF65C3"/>
    <w:rsid w:val="00D0774E"/>
    <w:rsid w:val="00D100F0"/>
    <w:rsid w:val="00D21406"/>
    <w:rsid w:val="00D21E4E"/>
    <w:rsid w:val="00D41FFE"/>
    <w:rsid w:val="00D44586"/>
    <w:rsid w:val="00D45F6F"/>
    <w:rsid w:val="00D476F2"/>
    <w:rsid w:val="00D54556"/>
    <w:rsid w:val="00D54F7C"/>
    <w:rsid w:val="00D72160"/>
    <w:rsid w:val="00D75D06"/>
    <w:rsid w:val="00D85D12"/>
    <w:rsid w:val="00D864E1"/>
    <w:rsid w:val="00D86D34"/>
    <w:rsid w:val="00D87E44"/>
    <w:rsid w:val="00D90210"/>
    <w:rsid w:val="00D90E79"/>
    <w:rsid w:val="00D94595"/>
    <w:rsid w:val="00D96F54"/>
    <w:rsid w:val="00DA03E6"/>
    <w:rsid w:val="00DA7BF4"/>
    <w:rsid w:val="00DB16A0"/>
    <w:rsid w:val="00DB273B"/>
    <w:rsid w:val="00DB2D18"/>
    <w:rsid w:val="00DB6290"/>
    <w:rsid w:val="00DB7DAB"/>
    <w:rsid w:val="00DC1B89"/>
    <w:rsid w:val="00DC1DE6"/>
    <w:rsid w:val="00DC2C12"/>
    <w:rsid w:val="00DD55E0"/>
    <w:rsid w:val="00DD6D0E"/>
    <w:rsid w:val="00DD6D90"/>
    <w:rsid w:val="00DE29C6"/>
    <w:rsid w:val="00DE2E2A"/>
    <w:rsid w:val="00DE528D"/>
    <w:rsid w:val="00DE6A37"/>
    <w:rsid w:val="00DF76B9"/>
    <w:rsid w:val="00E01712"/>
    <w:rsid w:val="00E04EF8"/>
    <w:rsid w:val="00E14BC0"/>
    <w:rsid w:val="00E2012C"/>
    <w:rsid w:val="00E317EF"/>
    <w:rsid w:val="00E42031"/>
    <w:rsid w:val="00E45313"/>
    <w:rsid w:val="00E45B8B"/>
    <w:rsid w:val="00E548D7"/>
    <w:rsid w:val="00E56942"/>
    <w:rsid w:val="00E57E69"/>
    <w:rsid w:val="00E66B91"/>
    <w:rsid w:val="00E7043E"/>
    <w:rsid w:val="00E71BF0"/>
    <w:rsid w:val="00E73A3B"/>
    <w:rsid w:val="00E84FD6"/>
    <w:rsid w:val="00E95AD4"/>
    <w:rsid w:val="00E969A6"/>
    <w:rsid w:val="00EA1626"/>
    <w:rsid w:val="00EA2D08"/>
    <w:rsid w:val="00EA37C3"/>
    <w:rsid w:val="00EA50D7"/>
    <w:rsid w:val="00EA7DE7"/>
    <w:rsid w:val="00EB6FA0"/>
    <w:rsid w:val="00EC13C8"/>
    <w:rsid w:val="00EC193D"/>
    <w:rsid w:val="00EC769E"/>
    <w:rsid w:val="00EC783A"/>
    <w:rsid w:val="00EC7FA5"/>
    <w:rsid w:val="00ED0DDF"/>
    <w:rsid w:val="00ED1474"/>
    <w:rsid w:val="00ED657F"/>
    <w:rsid w:val="00EE0131"/>
    <w:rsid w:val="00EE0975"/>
    <w:rsid w:val="00EE14E9"/>
    <w:rsid w:val="00EF1F4D"/>
    <w:rsid w:val="00EF2E7B"/>
    <w:rsid w:val="00EF49ED"/>
    <w:rsid w:val="00EF4FFE"/>
    <w:rsid w:val="00EF63E9"/>
    <w:rsid w:val="00F01B91"/>
    <w:rsid w:val="00F06958"/>
    <w:rsid w:val="00F117B9"/>
    <w:rsid w:val="00F13242"/>
    <w:rsid w:val="00F16F17"/>
    <w:rsid w:val="00F1736A"/>
    <w:rsid w:val="00F305AA"/>
    <w:rsid w:val="00F371AD"/>
    <w:rsid w:val="00F37817"/>
    <w:rsid w:val="00F44174"/>
    <w:rsid w:val="00F56297"/>
    <w:rsid w:val="00F56404"/>
    <w:rsid w:val="00F56B23"/>
    <w:rsid w:val="00F57DB1"/>
    <w:rsid w:val="00F609AB"/>
    <w:rsid w:val="00F811A1"/>
    <w:rsid w:val="00F823CB"/>
    <w:rsid w:val="00F837D0"/>
    <w:rsid w:val="00F83E08"/>
    <w:rsid w:val="00F87B6D"/>
    <w:rsid w:val="00F909E8"/>
    <w:rsid w:val="00F919E2"/>
    <w:rsid w:val="00F946BB"/>
    <w:rsid w:val="00F9663B"/>
    <w:rsid w:val="00FA29D6"/>
    <w:rsid w:val="00FA4A32"/>
    <w:rsid w:val="00FA7B83"/>
    <w:rsid w:val="00FB62B9"/>
    <w:rsid w:val="00FB70E5"/>
    <w:rsid w:val="00FC0A87"/>
    <w:rsid w:val="00FC2ED1"/>
    <w:rsid w:val="00FC7169"/>
    <w:rsid w:val="00FC72B3"/>
    <w:rsid w:val="00FD0196"/>
    <w:rsid w:val="00FD040F"/>
    <w:rsid w:val="00FD0685"/>
    <w:rsid w:val="00FD115F"/>
    <w:rsid w:val="00FD4F09"/>
    <w:rsid w:val="00FD58AD"/>
    <w:rsid w:val="00FE0022"/>
    <w:rsid w:val="00FE2F27"/>
    <w:rsid w:val="00FE4E3A"/>
    <w:rsid w:val="00FF2EA7"/>
    <w:rsid w:val="00FF5CAE"/>
    <w:rsid w:val="019F098B"/>
    <w:rsid w:val="02B34C2F"/>
    <w:rsid w:val="02E21B1C"/>
    <w:rsid w:val="030A4603"/>
    <w:rsid w:val="0317027A"/>
    <w:rsid w:val="036E1253"/>
    <w:rsid w:val="03B37DFB"/>
    <w:rsid w:val="0420106F"/>
    <w:rsid w:val="05405A2B"/>
    <w:rsid w:val="057D5CAF"/>
    <w:rsid w:val="057D5F8B"/>
    <w:rsid w:val="0599738D"/>
    <w:rsid w:val="05DF20B2"/>
    <w:rsid w:val="065E7DBE"/>
    <w:rsid w:val="06916990"/>
    <w:rsid w:val="07673ED7"/>
    <w:rsid w:val="079764C8"/>
    <w:rsid w:val="07E45DFA"/>
    <w:rsid w:val="085A5229"/>
    <w:rsid w:val="086A7995"/>
    <w:rsid w:val="09BC6DFE"/>
    <w:rsid w:val="0A190DBE"/>
    <w:rsid w:val="0A4422E6"/>
    <w:rsid w:val="0A653306"/>
    <w:rsid w:val="0B556378"/>
    <w:rsid w:val="0B713599"/>
    <w:rsid w:val="0BF62810"/>
    <w:rsid w:val="0BFD70B9"/>
    <w:rsid w:val="0C1D75EE"/>
    <w:rsid w:val="0C5868A3"/>
    <w:rsid w:val="0C8131E2"/>
    <w:rsid w:val="0CAA768D"/>
    <w:rsid w:val="0D051655"/>
    <w:rsid w:val="0D766C69"/>
    <w:rsid w:val="0D775025"/>
    <w:rsid w:val="0D9F6411"/>
    <w:rsid w:val="0DE10274"/>
    <w:rsid w:val="0F143410"/>
    <w:rsid w:val="0F5613B9"/>
    <w:rsid w:val="0F6321CF"/>
    <w:rsid w:val="0FA24A97"/>
    <w:rsid w:val="0FB64C56"/>
    <w:rsid w:val="102C2A1E"/>
    <w:rsid w:val="10D2547C"/>
    <w:rsid w:val="11136139"/>
    <w:rsid w:val="112264F8"/>
    <w:rsid w:val="116A2C7E"/>
    <w:rsid w:val="12071097"/>
    <w:rsid w:val="12A238C8"/>
    <w:rsid w:val="13D626E8"/>
    <w:rsid w:val="141B1D5C"/>
    <w:rsid w:val="146D2005"/>
    <w:rsid w:val="14B25486"/>
    <w:rsid w:val="14BA206E"/>
    <w:rsid w:val="151E3114"/>
    <w:rsid w:val="152D5C4C"/>
    <w:rsid w:val="154F7EB3"/>
    <w:rsid w:val="15E5505B"/>
    <w:rsid w:val="16F72CBB"/>
    <w:rsid w:val="17B76CBA"/>
    <w:rsid w:val="17DE7189"/>
    <w:rsid w:val="180D47F8"/>
    <w:rsid w:val="184622E0"/>
    <w:rsid w:val="188768C4"/>
    <w:rsid w:val="18CD4E3E"/>
    <w:rsid w:val="194D0C0F"/>
    <w:rsid w:val="195B67D0"/>
    <w:rsid w:val="19694C8B"/>
    <w:rsid w:val="19DF7242"/>
    <w:rsid w:val="1AD0651D"/>
    <w:rsid w:val="1B427DC5"/>
    <w:rsid w:val="1B822DAD"/>
    <w:rsid w:val="1BFF39FC"/>
    <w:rsid w:val="1C701A18"/>
    <w:rsid w:val="1D0667AD"/>
    <w:rsid w:val="1D723C3D"/>
    <w:rsid w:val="1DAA0049"/>
    <w:rsid w:val="1DBC6190"/>
    <w:rsid w:val="1DC32004"/>
    <w:rsid w:val="1DE02578"/>
    <w:rsid w:val="1E161E6D"/>
    <w:rsid w:val="1E6131E6"/>
    <w:rsid w:val="1EC21B49"/>
    <w:rsid w:val="1ED52538"/>
    <w:rsid w:val="20B64D89"/>
    <w:rsid w:val="20DE5C9E"/>
    <w:rsid w:val="21E872AF"/>
    <w:rsid w:val="22063623"/>
    <w:rsid w:val="220A5266"/>
    <w:rsid w:val="22736B1B"/>
    <w:rsid w:val="22F363CD"/>
    <w:rsid w:val="23AC6E6C"/>
    <w:rsid w:val="23DF1969"/>
    <w:rsid w:val="244B2FE4"/>
    <w:rsid w:val="24857944"/>
    <w:rsid w:val="24BF00DD"/>
    <w:rsid w:val="24ED18B6"/>
    <w:rsid w:val="25465A38"/>
    <w:rsid w:val="25502544"/>
    <w:rsid w:val="257E17C3"/>
    <w:rsid w:val="2598768F"/>
    <w:rsid w:val="25CF0E82"/>
    <w:rsid w:val="25EA42B4"/>
    <w:rsid w:val="268705C2"/>
    <w:rsid w:val="26BE32D0"/>
    <w:rsid w:val="26DE683B"/>
    <w:rsid w:val="273870CF"/>
    <w:rsid w:val="275C4F73"/>
    <w:rsid w:val="276D39B7"/>
    <w:rsid w:val="2791726C"/>
    <w:rsid w:val="27A31565"/>
    <w:rsid w:val="27B70819"/>
    <w:rsid w:val="27B725FE"/>
    <w:rsid w:val="27F868B5"/>
    <w:rsid w:val="28813DCA"/>
    <w:rsid w:val="28D4148C"/>
    <w:rsid w:val="290E0071"/>
    <w:rsid w:val="29EF171C"/>
    <w:rsid w:val="2A30023C"/>
    <w:rsid w:val="2A3C4812"/>
    <w:rsid w:val="2A5C3950"/>
    <w:rsid w:val="2A755335"/>
    <w:rsid w:val="2A931592"/>
    <w:rsid w:val="2AC4716C"/>
    <w:rsid w:val="2B060A14"/>
    <w:rsid w:val="2B306E85"/>
    <w:rsid w:val="2BC362DB"/>
    <w:rsid w:val="2BDB0301"/>
    <w:rsid w:val="2CAD0431"/>
    <w:rsid w:val="2CC70108"/>
    <w:rsid w:val="2CE30931"/>
    <w:rsid w:val="2CEC31E1"/>
    <w:rsid w:val="2EA11B8C"/>
    <w:rsid w:val="2EE43004"/>
    <w:rsid w:val="2F78636C"/>
    <w:rsid w:val="2F843483"/>
    <w:rsid w:val="2FFE7542"/>
    <w:rsid w:val="30D44F06"/>
    <w:rsid w:val="3105677F"/>
    <w:rsid w:val="3212114B"/>
    <w:rsid w:val="32453007"/>
    <w:rsid w:val="32500165"/>
    <w:rsid w:val="32791E19"/>
    <w:rsid w:val="334C557B"/>
    <w:rsid w:val="33EE1962"/>
    <w:rsid w:val="34C57BA3"/>
    <w:rsid w:val="34EC43DB"/>
    <w:rsid w:val="35844F1B"/>
    <w:rsid w:val="358E506D"/>
    <w:rsid w:val="37FF5D6B"/>
    <w:rsid w:val="38323D72"/>
    <w:rsid w:val="385A0F57"/>
    <w:rsid w:val="386560EE"/>
    <w:rsid w:val="38FB1545"/>
    <w:rsid w:val="398450FF"/>
    <w:rsid w:val="398B45F9"/>
    <w:rsid w:val="3A0A09B8"/>
    <w:rsid w:val="3A2E1525"/>
    <w:rsid w:val="3AAB3A8B"/>
    <w:rsid w:val="3AEC097D"/>
    <w:rsid w:val="3AFC0349"/>
    <w:rsid w:val="3B2E39A5"/>
    <w:rsid w:val="3B503923"/>
    <w:rsid w:val="3BA861BF"/>
    <w:rsid w:val="3BC026AC"/>
    <w:rsid w:val="3C045551"/>
    <w:rsid w:val="3C3F0F10"/>
    <w:rsid w:val="3C9158CA"/>
    <w:rsid w:val="3CD42DDC"/>
    <w:rsid w:val="3CFE16DF"/>
    <w:rsid w:val="3D5C7F9C"/>
    <w:rsid w:val="3E587AC9"/>
    <w:rsid w:val="3E59102D"/>
    <w:rsid w:val="3E7962C5"/>
    <w:rsid w:val="3EC14B85"/>
    <w:rsid w:val="3EDB6FDE"/>
    <w:rsid w:val="3F6B3D19"/>
    <w:rsid w:val="3F9D3335"/>
    <w:rsid w:val="3FB771BB"/>
    <w:rsid w:val="3FBF16DF"/>
    <w:rsid w:val="40334462"/>
    <w:rsid w:val="4058011F"/>
    <w:rsid w:val="41523BBA"/>
    <w:rsid w:val="42011CDE"/>
    <w:rsid w:val="42214C68"/>
    <w:rsid w:val="422E5393"/>
    <w:rsid w:val="428D00BE"/>
    <w:rsid w:val="43AA1959"/>
    <w:rsid w:val="44BA73CE"/>
    <w:rsid w:val="44CB0DA5"/>
    <w:rsid w:val="44DF101F"/>
    <w:rsid w:val="46540873"/>
    <w:rsid w:val="472A233A"/>
    <w:rsid w:val="4789148C"/>
    <w:rsid w:val="47B2292F"/>
    <w:rsid w:val="47ED60C3"/>
    <w:rsid w:val="47F368C2"/>
    <w:rsid w:val="481F7786"/>
    <w:rsid w:val="482F1EF9"/>
    <w:rsid w:val="48A707BB"/>
    <w:rsid w:val="48AE66FC"/>
    <w:rsid w:val="4921081D"/>
    <w:rsid w:val="494A655A"/>
    <w:rsid w:val="49C56201"/>
    <w:rsid w:val="4A05652B"/>
    <w:rsid w:val="4A832D8E"/>
    <w:rsid w:val="4A851907"/>
    <w:rsid w:val="4B0A392B"/>
    <w:rsid w:val="4B1B0FA9"/>
    <w:rsid w:val="4B2F30A5"/>
    <w:rsid w:val="4B3F3B34"/>
    <w:rsid w:val="4B7764DD"/>
    <w:rsid w:val="4B7B10B5"/>
    <w:rsid w:val="4BA02624"/>
    <w:rsid w:val="4BC258EC"/>
    <w:rsid w:val="4C2C2775"/>
    <w:rsid w:val="4C8B7283"/>
    <w:rsid w:val="4DA41071"/>
    <w:rsid w:val="4E3E444F"/>
    <w:rsid w:val="4EF2097A"/>
    <w:rsid w:val="4F676753"/>
    <w:rsid w:val="4F7023B1"/>
    <w:rsid w:val="4F9E39C1"/>
    <w:rsid w:val="4FC42CE0"/>
    <w:rsid w:val="504128C1"/>
    <w:rsid w:val="50697FE3"/>
    <w:rsid w:val="506F44BA"/>
    <w:rsid w:val="509C2861"/>
    <w:rsid w:val="515B13AC"/>
    <w:rsid w:val="523D10DC"/>
    <w:rsid w:val="5250749B"/>
    <w:rsid w:val="52DE7711"/>
    <w:rsid w:val="531403E1"/>
    <w:rsid w:val="53A00AEC"/>
    <w:rsid w:val="53A578D3"/>
    <w:rsid w:val="543C7F40"/>
    <w:rsid w:val="5452635C"/>
    <w:rsid w:val="54681D6A"/>
    <w:rsid w:val="549D6CE0"/>
    <w:rsid w:val="54F87ABA"/>
    <w:rsid w:val="56DA2476"/>
    <w:rsid w:val="574F49DE"/>
    <w:rsid w:val="57AF4FDF"/>
    <w:rsid w:val="58F2232B"/>
    <w:rsid w:val="590C0B28"/>
    <w:rsid w:val="590F622A"/>
    <w:rsid w:val="592A7F5A"/>
    <w:rsid w:val="59BD1846"/>
    <w:rsid w:val="5A340063"/>
    <w:rsid w:val="5A6F358B"/>
    <w:rsid w:val="5AB046DC"/>
    <w:rsid w:val="5AB05956"/>
    <w:rsid w:val="5AF71582"/>
    <w:rsid w:val="5B1E5BEE"/>
    <w:rsid w:val="5B403D3D"/>
    <w:rsid w:val="5B8F4FC4"/>
    <w:rsid w:val="5BB71BF5"/>
    <w:rsid w:val="5BE84759"/>
    <w:rsid w:val="5C075529"/>
    <w:rsid w:val="5C2E386F"/>
    <w:rsid w:val="5C3F5168"/>
    <w:rsid w:val="5C400FEA"/>
    <w:rsid w:val="5CB30AAC"/>
    <w:rsid w:val="5DCF5698"/>
    <w:rsid w:val="5E0941AB"/>
    <w:rsid w:val="5EA6139C"/>
    <w:rsid w:val="5EF60ED4"/>
    <w:rsid w:val="5F2339A1"/>
    <w:rsid w:val="5FE265FC"/>
    <w:rsid w:val="60DF4EB0"/>
    <w:rsid w:val="60EF1B17"/>
    <w:rsid w:val="6104413C"/>
    <w:rsid w:val="61127BCE"/>
    <w:rsid w:val="612376E0"/>
    <w:rsid w:val="61B54E59"/>
    <w:rsid w:val="61D021F4"/>
    <w:rsid w:val="622073FA"/>
    <w:rsid w:val="62412B5F"/>
    <w:rsid w:val="628E0FC5"/>
    <w:rsid w:val="62FB2F72"/>
    <w:rsid w:val="632E63BC"/>
    <w:rsid w:val="636117D3"/>
    <w:rsid w:val="63657DBB"/>
    <w:rsid w:val="63922D6B"/>
    <w:rsid w:val="63B37993"/>
    <w:rsid w:val="63E2783F"/>
    <w:rsid w:val="643D7812"/>
    <w:rsid w:val="64E53D97"/>
    <w:rsid w:val="64F7568E"/>
    <w:rsid w:val="65636BE4"/>
    <w:rsid w:val="65C91E0B"/>
    <w:rsid w:val="65CD5E8A"/>
    <w:rsid w:val="65D0480C"/>
    <w:rsid w:val="65E6393A"/>
    <w:rsid w:val="660D13ED"/>
    <w:rsid w:val="667E3482"/>
    <w:rsid w:val="66FD5491"/>
    <w:rsid w:val="673408E3"/>
    <w:rsid w:val="67724603"/>
    <w:rsid w:val="67834660"/>
    <w:rsid w:val="67891DEC"/>
    <w:rsid w:val="67C402BC"/>
    <w:rsid w:val="689B3184"/>
    <w:rsid w:val="68F439A8"/>
    <w:rsid w:val="6A3264C7"/>
    <w:rsid w:val="6A575BE3"/>
    <w:rsid w:val="6A71121F"/>
    <w:rsid w:val="6AA62CFF"/>
    <w:rsid w:val="6AB5745F"/>
    <w:rsid w:val="6B5B1B7D"/>
    <w:rsid w:val="6BC04CD5"/>
    <w:rsid w:val="6C670665"/>
    <w:rsid w:val="6CAD5D4D"/>
    <w:rsid w:val="6CE667D0"/>
    <w:rsid w:val="6D400349"/>
    <w:rsid w:val="6D9B0E8B"/>
    <w:rsid w:val="6DBE1473"/>
    <w:rsid w:val="6DF77DE3"/>
    <w:rsid w:val="6E2E1775"/>
    <w:rsid w:val="6E4E5BDE"/>
    <w:rsid w:val="6E811FDA"/>
    <w:rsid w:val="6E98190E"/>
    <w:rsid w:val="6E9B24D1"/>
    <w:rsid w:val="6EF93BDD"/>
    <w:rsid w:val="6EFC51A7"/>
    <w:rsid w:val="6F2F1C10"/>
    <w:rsid w:val="6F762BA1"/>
    <w:rsid w:val="6F8A4A0A"/>
    <w:rsid w:val="6FAB07C2"/>
    <w:rsid w:val="6FBC5858"/>
    <w:rsid w:val="6FF82244"/>
    <w:rsid w:val="7027106B"/>
    <w:rsid w:val="708F67E1"/>
    <w:rsid w:val="70B0291D"/>
    <w:rsid w:val="70F15A6D"/>
    <w:rsid w:val="71D05FEB"/>
    <w:rsid w:val="722701BD"/>
    <w:rsid w:val="72425B58"/>
    <w:rsid w:val="72813848"/>
    <w:rsid w:val="72A372A2"/>
    <w:rsid w:val="73583FF8"/>
    <w:rsid w:val="73760A30"/>
    <w:rsid w:val="73A02274"/>
    <w:rsid w:val="73B57063"/>
    <w:rsid w:val="74040FB8"/>
    <w:rsid w:val="744246C9"/>
    <w:rsid w:val="74591CCF"/>
    <w:rsid w:val="747C32E8"/>
    <w:rsid w:val="74917332"/>
    <w:rsid w:val="74A24F58"/>
    <w:rsid w:val="75721291"/>
    <w:rsid w:val="75C435F6"/>
    <w:rsid w:val="75D07C3A"/>
    <w:rsid w:val="76595223"/>
    <w:rsid w:val="770819D9"/>
    <w:rsid w:val="775A7C62"/>
    <w:rsid w:val="77FF4B5A"/>
    <w:rsid w:val="7855167B"/>
    <w:rsid w:val="78AC2AD0"/>
    <w:rsid w:val="78BF68BC"/>
    <w:rsid w:val="79A94EA3"/>
    <w:rsid w:val="79BD64D1"/>
    <w:rsid w:val="79DA605C"/>
    <w:rsid w:val="7AA9287D"/>
    <w:rsid w:val="7B8503C7"/>
    <w:rsid w:val="7C2626F7"/>
    <w:rsid w:val="7C975D7B"/>
    <w:rsid w:val="7CDC60AF"/>
    <w:rsid w:val="7DB519CA"/>
    <w:rsid w:val="7DBA1240"/>
    <w:rsid w:val="7DE5415E"/>
    <w:rsid w:val="7DFA7CBD"/>
    <w:rsid w:val="7E152FE9"/>
    <w:rsid w:val="7E15445F"/>
    <w:rsid w:val="7E321416"/>
    <w:rsid w:val="7E3A13AC"/>
    <w:rsid w:val="7E734104"/>
    <w:rsid w:val="7F233236"/>
    <w:rsid w:val="7F471D32"/>
    <w:rsid w:val="7F5A51FE"/>
    <w:rsid w:val="7F671AEB"/>
    <w:rsid w:val="7F6959FF"/>
    <w:rsid w:val="7F822B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75"/>
    <w:qFormat/>
    <w:uiPriority w:val="0"/>
    <w:pPr>
      <w:keepNext/>
      <w:keepLines/>
      <w:spacing w:before="340" w:after="330" w:line="576" w:lineRule="auto"/>
      <w:outlineLvl w:val="0"/>
    </w:pPr>
    <w:rPr>
      <w:rFonts w:ascii="宋体" w:hAnsi="Courier New"/>
      <w:b/>
      <w:kern w:val="44"/>
      <w:sz w:val="44"/>
    </w:rPr>
  </w:style>
  <w:style w:type="paragraph" w:styleId="7">
    <w:name w:val="heading 2"/>
    <w:basedOn w:val="1"/>
    <w:next w:val="1"/>
    <w:link w:val="76"/>
    <w:qFormat/>
    <w:uiPriority w:val="0"/>
    <w:pPr>
      <w:keepNext/>
      <w:jc w:val="center"/>
      <w:outlineLvl w:val="1"/>
    </w:pPr>
    <w:rPr>
      <w:rFonts w:ascii="黑体" w:eastAsia="黑体"/>
      <w:b/>
      <w:color w:val="000000"/>
      <w:sz w:val="24"/>
    </w:rPr>
  </w:style>
  <w:style w:type="paragraph" w:styleId="8">
    <w:name w:val="heading 3"/>
    <w:basedOn w:val="1"/>
    <w:next w:val="1"/>
    <w:link w:val="68"/>
    <w:qFormat/>
    <w:uiPriority w:val="0"/>
    <w:pPr>
      <w:keepNext/>
      <w:keepLines/>
      <w:spacing w:before="260" w:after="260" w:line="415" w:lineRule="auto"/>
      <w:outlineLvl w:val="2"/>
    </w:pPr>
    <w:rPr>
      <w:b/>
      <w:sz w:val="32"/>
    </w:rPr>
  </w:style>
  <w:style w:type="paragraph" w:styleId="9">
    <w:name w:val="heading 4"/>
    <w:basedOn w:val="1"/>
    <w:next w:val="1"/>
    <w:link w:val="80"/>
    <w:qFormat/>
    <w:uiPriority w:val="0"/>
    <w:pPr>
      <w:keepNext/>
      <w:keepLines/>
      <w:tabs>
        <w:tab w:val="left" w:pos="864"/>
      </w:tabs>
      <w:adjustRightInd w:val="0"/>
      <w:spacing w:before="280" w:after="290" w:line="376" w:lineRule="atLeast"/>
      <w:ind w:left="864" w:hanging="864"/>
      <w:textAlignment w:val="baseline"/>
      <w:outlineLvl w:val="3"/>
    </w:pPr>
    <w:rPr>
      <w:rFonts w:ascii="Arial" w:hAnsi="Arial" w:eastAsia="黑体"/>
      <w:b/>
      <w:kern w:val="0"/>
      <w:sz w:val="28"/>
    </w:rPr>
  </w:style>
  <w:style w:type="paragraph" w:styleId="10">
    <w:name w:val="heading 5"/>
    <w:basedOn w:val="1"/>
    <w:next w:val="1"/>
    <w:qFormat/>
    <w:uiPriority w:val="0"/>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11">
    <w:name w:val="heading 6"/>
    <w:basedOn w:val="1"/>
    <w:next w:val="1"/>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kern w:val="0"/>
      <w:sz w:val="24"/>
    </w:rPr>
  </w:style>
  <w:style w:type="paragraph" w:styleId="12">
    <w:name w:val="heading 7"/>
    <w:basedOn w:val="1"/>
    <w:next w:val="1"/>
    <w:qFormat/>
    <w:uiPriority w:val="0"/>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13">
    <w:name w:val="heading 8"/>
    <w:basedOn w:val="1"/>
    <w:next w:val="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 w:val="24"/>
    </w:rPr>
  </w:style>
  <w:style w:type="paragraph" w:styleId="14">
    <w:name w:val="heading 9"/>
    <w:basedOn w:val="1"/>
    <w:next w:val="1"/>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4"/>
    </w:rPr>
  </w:style>
  <w:style w:type="character" w:default="1" w:styleId="58">
    <w:name w:val="Default Paragraph Font"/>
    <w:semiHidden/>
    <w:unhideWhenUsed/>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unhideWhenUsed/>
    <w:uiPriority w:val="99"/>
    <w:pPr>
      <w:ind w:firstLine="420"/>
    </w:pPr>
  </w:style>
  <w:style w:type="paragraph" w:styleId="3">
    <w:name w:val="Body Text Indent"/>
    <w:basedOn w:val="1"/>
    <w:qFormat/>
    <w:uiPriority w:val="0"/>
    <w:pPr>
      <w:spacing w:line="540" w:lineRule="exact"/>
      <w:ind w:firstLine="480" w:firstLineChars="200"/>
    </w:pPr>
    <w:rPr>
      <w:sz w:val="24"/>
    </w:r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pPr>
  </w:style>
  <w:style w:type="paragraph" w:styleId="15">
    <w:name w:val="List 3"/>
    <w:basedOn w:val="1"/>
    <w:qFormat/>
    <w:uiPriority w:val="0"/>
    <w:pPr>
      <w:ind w:left="100" w:leftChars="400" w:hanging="200" w:hangingChars="200"/>
    </w:pPr>
  </w:style>
  <w:style w:type="paragraph" w:styleId="16">
    <w:name w:val="toc 7"/>
    <w:basedOn w:val="1"/>
    <w:next w:val="1"/>
    <w:qFormat/>
    <w:uiPriority w:val="0"/>
    <w:pPr>
      <w:adjustRightInd w:val="0"/>
      <w:spacing w:line="360" w:lineRule="auto"/>
      <w:ind w:left="1440" w:firstLine="425"/>
      <w:jc w:val="left"/>
      <w:textAlignment w:val="baseline"/>
    </w:pPr>
    <w:rPr>
      <w:sz w:val="18"/>
    </w:rPr>
  </w:style>
  <w:style w:type="paragraph" w:styleId="17">
    <w:name w:val="index 8"/>
    <w:basedOn w:val="1"/>
    <w:next w:val="1"/>
    <w:qFormat/>
    <w:uiPriority w:val="0"/>
    <w:pPr>
      <w:adjustRightInd w:val="0"/>
      <w:spacing w:line="360" w:lineRule="auto"/>
      <w:ind w:left="1920" w:hanging="240"/>
      <w:jc w:val="left"/>
      <w:textAlignment w:val="baseline"/>
    </w:pPr>
    <w:rPr>
      <w:sz w:val="20"/>
    </w:rPr>
  </w:style>
  <w:style w:type="paragraph" w:styleId="18">
    <w:name w:val="List Number"/>
    <w:basedOn w:val="1"/>
    <w:qFormat/>
    <w:uiPriority w:val="0"/>
    <w:pPr>
      <w:tabs>
        <w:tab w:val="left" w:pos="720"/>
      </w:tabs>
      <w:snapToGrid w:val="0"/>
      <w:spacing w:after="60" w:line="300" w:lineRule="auto"/>
      <w:ind w:left="720" w:hanging="720"/>
    </w:pPr>
    <w:rPr>
      <w:sz w:val="24"/>
    </w:rPr>
  </w:style>
  <w:style w:type="paragraph" w:styleId="19">
    <w:name w:val="Normal Indent"/>
    <w:basedOn w:val="1"/>
    <w:link w:val="73"/>
    <w:qFormat/>
    <w:uiPriority w:val="0"/>
    <w:pPr>
      <w:ind w:firstLine="420" w:firstLineChars="200"/>
    </w:pPr>
  </w:style>
  <w:style w:type="paragraph" w:styleId="20">
    <w:name w:val="caption"/>
    <w:basedOn w:val="1"/>
    <w:next w:val="1"/>
    <w:qFormat/>
    <w:uiPriority w:val="0"/>
    <w:rPr>
      <w:rFonts w:ascii="Arial" w:hAnsi="Arial" w:eastAsia="黑体"/>
      <w:sz w:val="20"/>
    </w:rPr>
  </w:style>
  <w:style w:type="paragraph" w:styleId="21">
    <w:name w:val="index 5"/>
    <w:basedOn w:val="1"/>
    <w:next w:val="1"/>
    <w:qFormat/>
    <w:uiPriority w:val="0"/>
    <w:pPr>
      <w:adjustRightInd w:val="0"/>
      <w:spacing w:line="360" w:lineRule="auto"/>
      <w:ind w:left="1200" w:hanging="240"/>
      <w:jc w:val="left"/>
      <w:textAlignment w:val="baseline"/>
    </w:pPr>
    <w:rPr>
      <w:sz w:val="20"/>
    </w:rPr>
  </w:style>
  <w:style w:type="paragraph" w:styleId="22">
    <w:name w:val="List Bullet"/>
    <w:basedOn w:val="1"/>
    <w:qFormat/>
    <w:uiPriority w:val="0"/>
    <w:pPr>
      <w:tabs>
        <w:tab w:val="left" w:pos="360"/>
      </w:tabs>
      <w:ind w:left="360" w:hanging="360"/>
    </w:pPr>
  </w:style>
  <w:style w:type="paragraph" w:styleId="23">
    <w:name w:val="Document Map"/>
    <w:basedOn w:val="1"/>
    <w:link w:val="79"/>
    <w:semiHidden/>
    <w:qFormat/>
    <w:uiPriority w:val="0"/>
    <w:rPr>
      <w:rFonts w:ascii="宋体" w:hAnsi="Calibri"/>
      <w:sz w:val="18"/>
      <w:szCs w:val="18"/>
    </w:rPr>
  </w:style>
  <w:style w:type="paragraph" w:styleId="24">
    <w:name w:val="annotation text"/>
    <w:basedOn w:val="1"/>
    <w:qFormat/>
    <w:uiPriority w:val="0"/>
    <w:pPr>
      <w:adjustRightInd w:val="0"/>
      <w:spacing w:line="360" w:lineRule="atLeast"/>
      <w:jc w:val="left"/>
      <w:textAlignment w:val="baseline"/>
    </w:pPr>
    <w:rPr>
      <w:rFonts w:ascii="GothicE"/>
      <w:snapToGrid w:val="0"/>
      <w:kern w:val="0"/>
      <w:sz w:val="24"/>
    </w:rPr>
  </w:style>
  <w:style w:type="paragraph" w:styleId="25">
    <w:name w:val="index 6"/>
    <w:basedOn w:val="1"/>
    <w:next w:val="1"/>
    <w:qFormat/>
    <w:uiPriority w:val="0"/>
    <w:pPr>
      <w:adjustRightInd w:val="0"/>
      <w:spacing w:line="360" w:lineRule="auto"/>
      <w:ind w:left="1440" w:hanging="240"/>
      <w:jc w:val="left"/>
      <w:textAlignment w:val="baseline"/>
    </w:pPr>
    <w:rPr>
      <w:sz w:val="20"/>
    </w:rPr>
  </w:style>
  <w:style w:type="paragraph" w:styleId="26">
    <w:name w:val="Body Text 3"/>
    <w:basedOn w:val="1"/>
    <w:qFormat/>
    <w:uiPriority w:val="0"/>
    <w:pPr>
      <w:spacing w:after="120"/>
    </w:pPr>
    <w:rPr>
      <w:sz w:val="16"/>
    </w:rPr>
  </w:style>
  <w:style w:type="paragraph" w:styleId="27">
    <w:name w:val="List 2"/>
    <w:basedOn w:val="1"/>
    <w:qFormat/>
    <w:uiPriority w:val="0"/>
    <w:pPr>
      <w:ind w:left="100" w:leftChars="200" w:hanging="200" w:hangingChars="200"/>
    </w:pPr>
  </w:style>
  <w:style w:type="paragraph" w:styleId="28">
    <w:name w:val="index 4"/>
    <w:basedOn w:val="1"/>
    <w:next w:val="1"/>
    <w:qFormat/>
    <w:uiPriority w:val="0"/>
    <w:pPr>
      <w:adjustRightInd w:val="0"/>
      <w:spacing w:line="360" w:lineRule="auto"/>
      <w:ind w:left="960" w:hanging="240"/>
      <w:jc w:val="left"/>
      <w:textAlignment w:val="baseline"/>
    </w:pPr>
    <w:rPr>
      <w:sz w:val="20"/>
    </w:rPr>
  </w:style>
  <w:style w:type="paragraph" w:styleId="29">
    <w:name w:val="toc 5"/>
    <w:basedOn w:val="1"/>
    <w:next w:val="1"/>
    <w:qFormat/>
    <w:uiPriority w:val="0"/>
    <w:pPr>
      <w:adjustRightInd w:val="0"/>
      <w:spacing w:line="360" w:lineRule="auto"/>
      <w:ind w:left="960" w:firstLine="425"/>
      <w:jc w:val="left"/>
      <w:textAlignment w:val="baseline"/>
    </w:pPr>
    <w:rPr>
      <w:sz w:val="18"/>
    </w:rPr>
  </w:style>
  <w:style w:type="paragraph" w:styleId="30">
    <w:name w:val="toc 3"/>
    <w:basedOn w:val="1"/>
    <w:next w:val="1"/>
    <w:qFormat/>
    <w:uiPriority w:val="39"/>
    <w:pPr>
      <w:adjustRightInd w:val="0"/>
      <w:spacing w:line="360" w:lineRule="auto"/>
      <w:ind w:left="480" w:firstLine="425"/>
      <w:jc w:val="left"/>
      <w:textAlignment w:val="baseline"/>
    </w:pPr>
    <w:rPr>
      <w:i/>
      <w:sz w:val="20"/>
    </w:rPr>
  </w:style>
  <w:style w:type="paragraph" w:styleId="31">
    <w:name w:val="Plain Text"/>
    <w:basedOn w:val="1"/>
    <w:qFormat/>
    <w:uiPriority w:val="0"/>
    <w:pPr>
      <w:widowControl/>
      <w:spacing w:before="120" w:after="120" w:line="240" w:lineRule="atLeast"/>
    </w:pPr>
    <w:rPr>
      <w:rFonts w:ascii="宋体" w:hAnsi="Courier New"/>
      <w:sz w:val="28"/>
    </w:rPr>
  </w:style>
  <w:style w:type="paragraph" w:styleId="32">
    <w:name w:val="toc 8"/>
    <w:basedOn w:val="1"/>
    <w:next w:val="1"/>
    <w:qFormat/>
    <w:uiPriority w:val="0"/>
    <w:pPr>
      <w:adjustRightInd w:val="0"/>
      <w:spacing w:line="360" w:lineRule="auto"/>
      <w:ind w:left="1680" w:firstLine="425"/>
      <w:jc w:val="left"/>
      <w:textAlignment w:val="baseline"/>
    </w:pPr>
    <w:rPr>
      <w:sz w:val="18"/>
    </w:rPr>
  </w:style>
  <w:style w:type="paragraph" w:styleId="33">
    <w:name w:val="index 3"/>
    <w:basedOn w:val="1"/>
    <w:next w:val="1"/>
    <w:qFormat/>
    <w:uiPriority w:val="0"/>
    <w:pPr>
      <w:adjustRightInd w:val="0"/>
      <w:spacing w:line="360" w:lineRule="auto"/>
      <w:ind w:left="720" w:hanging="240"/>
      <w:jc w:val="left"/>
      <w:textAlignment w:val="baseline"/>
    </w:pPr>
    <w:rPr>
      <w:sz w:val="20"/>
    </w:rPr>
  </w:style>
  <w:style w:type="paragraph" w:styleId="34">
    <w:name w:val="Date"/>
    <w:basedOn w:val="1"/>
    <w:next w:val="1"/>
    <w:qFormat/>
    <w:uiPriority w:val="0"/>
    <w:pPr>
      <w:ind w:left="100" w:leftChars="2500"/>
    </w:pPr>
  </w:style>
  <w:style w:type="paragraph" w:styleId="35">
    <w:name w:val="Body Text Indent 2"/>
    <w:basedOn w:val="1"/>
    <w:qFormat/>
    <w:uiPriority w:val="0"/>
    <w:pPr>
      <w:spacing w:after="120" w:line="480" w:lineRule="auto"/>
      <w:ind w:left="420" w:leftChars="200"/>
    </w:pPr>
  </w:style>
  <w:style w:type="paragraph" w:styleId="36">
    <w:name w:val="Balloon Text"/>
    <w:basedOn w:val="1"/>
    <w:link w:val="69"/>
    <w:qFormat/>
    <w:uiPriority w:val="0"/>
    <w:rPr>
      <w:sz w:val="18"/>
    </w:rPr>
  </w:style>
  <w:style w:type="paragraph" w:styleId="37">
    <w:name w:val="footer"/>
    <w:basedOn w:val="1"/>
    <w:link w:val="78"/>
    <w:qFormat/>
    <w:uiPriority w:val="0"/>
    <w:pPr>
      <w:tabs>
        <w:tab w:val="center" w:pos="4153"/>
        <w:tab w:val="right" w:pos="8306"/>
      </w:tabs>
      <w:snapToGrid w:val="0"/>
      <w:jc w:val="left"/>
    </w:pPr>
    <w:rPr>
      <w:sz w:val="18"/>
    </w:rPr>
  </w:style>
  <w:style w:type="paragraph" w:styleId="38">
    <w:name w:val="header"/>
    <w:basedOn w:val="1"/>
    <w:link w:val="84"/>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39"/>
    <w:pPr>
      <w:adjustRightInd w:val="0"/>
      <w:spacing w:before="120" w:after="120" w:line="360" w:lineRule="auto"/>
      <w:ind w:firstLine="425"/>
      <w:jc w:val="left"/>
      <w:textAlignment w:val="baseline"/>
    </w:pPr>
    <w:rPr>
      <w:b/>
      <w:caps/>
      <w:sz w:val="20"/>
    </w:rPr>
  </w:style>
  <w:style w:type="paragraph" w:styleId="40">
    <w:name w:val="toc 4"/>
    <w:basedOn w:val="1"/>
    <w:next w:val="1"/>
    <w:qFormat/>
    <w:uiPriority w:val="0"/>
    <w:pPr>
      <w:adjustRightInd w:val="0"/>
      <w:spacing w:line="360" w:lineRule="auto"/>
      <w:ind w:left="720" w:firstLine="425"/>
      <w:jc w:val="left"/>
      <w:textAlignment w:val="baseline"/>
    </w:pPr>
    <w:rPr>
      <w:sz w:val="18"/>
    </w:rPr>
  </w:style>
  <w:style w:type="paragraph" w:styleId="41">
    <w:name w:val="index heading"/>
    <w:basedOn w:val="1"/>
    <w:next w:val="42"/>
    <w:qFormat/>
    <w:uiPriority w:val="0"/>
    <w:pPr>
      <w:adjustRightInd w:val="0"/>
      <w:spacing w:before="120" w:after="120" w:line="360" w:lineRule="auto"/>
      <w:ind w:firstLine="425"/>
      <w:jc w:val="left"/>
      <w:textAlignment w:val="baseline"/>
    </w:pPr>
    <w:rPr>
      <w:b/>
      <w:i/>
      <w:sz w:val="20"/>
    </w:rPr>
  </w:style>
  <w:style w:type="paragraph" w:styleId="42">
    <w:name w:val="index 1"/>
    <w:basedOn w:val="1"/>
    <w:next w:val="1"/>
    <w:qFormat/>
    <w:uiPriority w:val="0"/>
    <w:pPr>
      <w:adjustRightInd w:val="0"/>
      <w:spacing w:line="360" w:lineRule="auto"/>
      <w:ind w:left="240" w:hanging="240"/>
      <w:jc w:val="left"/>
      <w:textAlignment w:val="baseline"/>
    </w:pPr>
    <w:rPr>
      <w:sz w:val="20"/>
    </w:rPr>
  </w:style>
  <w:style w:type="paragraph" w:styleId="43">
    <w:name w:val="footnote text"/>
    <w:basedOn w:val="1"/>
    <w:qFormat/>
    <w:uiPriority w:val="0"/>
    <w:pPr>
      <w:adjustRightInd w:val="0"/>
      <w:spacing w:line="315" w:lineRule="atLeast"/>
      <w:textAlignment w:val="baseline"/>
    </w:pPr>
    <w:rPr>
      <w:rFonts w:ascii="宋体"/>
      <w:kern w:val="0"/>
      <w:sz w:val="24"/>
    </w:rPr>
  </w:style>
  <w:style w:type="paragraph" w:styleId="44">
    <w:name w:val="toc 6"/>
    <w:basedOn w:val="1"/>
    <w:next w:val="1"/>
    <w:qFormat/>
    <w:uiPriority w:val="0"/>
    <w:pPr>
      <w:adjustRightInd w:val="0"/>
      <w:spacing w:line="360" w:lineRule="auto"/>
      <w:ind w:left="1200" w:firstLine="425"/>
      <w:jc w:val="left"/>
      <w:textAlignment w:val="baseline"/>
    </w:pPr>
    <w:rPr>
      <w:sz w:val="18"/>
    </w:rPr>
  </w:style>
  <w:style w:type="paragraph" w:styleId="45">
    <w:name w:val="Body Text Indent 3"/>
    <w:basedOn w:val="1"/>
    <w:qFormat/>
    <w:uiPriority w:val="0"/>
    <w:pPr>
      <w:spacing w:after="120"/>
      <w:ind w:left="420" w:leftChars="200"/>
    </w:pPr>
    <w:rPr>
      <w:sz w:val="16"/>
    </w:rPr>
  </w:style>
  <w:style w:type="paragraph" w:styleId="46">
    <w:name w:val="index 7"/>
    <w:basedOn w:val="1"/>
    <w:next w:val="1"/>
    <w:qFormat/>
    <w:uiPriority w:val="0"/>
    <w:pPr>
      <w:adjustRightInd w:val="0"/>
      <w:spacing w:line="360" w:lineRule="auto"/>
      <w:ind w:left="1680" w:hanging="240"/>
      <w:jc w:val="left"/>
      <w:textAlignment w:val="baseline"/>
    </w:pPr>
    <w:rPr>
      <w:sz w:val="20"/>
    </w:rPr>
  </w:style>
  <w:style w:type="paragraph" w:styleId="47">
    <w:name w:val="index 9"/>
    <w:basedOn w:val="1"/>
    <w:next w:val="1"/>
    <w:qFormat/>
    <w:uiPriority w:val="0"/>
    <w:pPr>
      <w:adjustRightInd w:val="0"/>
      <w:spacing w:line="360" w:lineRule="auto"/>
      <w:ind w:left="2160" w:hanging="240"/>
      <w:jc w:val="left"/>
      <w:textAlignment w:val="baseline"/>
    </w:pPr>
    <w:rPr>
      <w:sz w:val="20"/>
    </w:rPr>
  </w:style>
  <w:style w:type="paragraph" w:styleId="48">
    <w:name w:val="table of figures"/>
    <w:basedOn w:val="1"/>
    <w:next w:val="1"/>
    <w:qFormat/>
    <w:uiPriority w:val="0"/>
    <w:pPr>
      <w:adjustRightInd w:val="0"/>
      <w:spacing w:line="360" w:lineRule="auto"/>
      <w:ind w:left="480" w:hanging="480"/>
      <w:jc w:val="left"/>
      <w:textAlignment w:val="baseline"/>
    </w:pPr>
    <w:rPr>
      <w:smallCaps/>
      <w:sz w:val="20"/>
    </w:rPr>
  </w:style>
  <w:style w:type="paragraph" w:styleId="49">
    <w:name w:val="toc 2"/>
    <w:basedOn w:val="1"/>
    <w:next w:val="1"/>
    <w:qFormat/>
    <w:uiPriority w:val="39"/>
    <w:pPr>
      <w:adjustRightInd w:val="0"/>
      <w:spacing w:line="360" w:lineRule="auto"/>
      <w:ind w:left="240" w:firstLine="425"/>
      <w:jc w:val="left"/>
      <w:textAlignment w:val="baseline"/>
    </w:pPr>
    <w:rPr>
      <w:smallCaps/>
      <w:sz w:val="20"/>
    </w:rPr>
  </w:style>
  <w:style w:type="paragraph" w:styleId="50">
    <w:name w:val="toc 9"/>
    <w:basedOn w:val="1"/>
    <w:next w:val="1"/>
    <w:qFormat/>
    <w:uiPriority w:val="0"/>
    <w:pPr>
      <w:adjustRightInd w:val="0"/>
      <w:spacing w:line="360" w:lineRule="auto"/>
      <w:ind w:left="1920" w:firstLine="425"/>
      <w:jc w:val="left"/>
      <w:textAlignment w:val="baseline"/>
    </w:pPr>
    <w:rPr>
      <w:sz w:val="18"/>
    </w:rPr>
  </w:style>
  <w:style w:type="paragraph" w:styleId="51">
    <w:name w:val="Body Text 2"/>
    <w:basedOn w:val="1"/>
    <w:qFormat/>
    <w:uiPriority w:val="0"/>
    <w:pPr>
      <w:spacing w:after="120" w:line="480" w:lineRule="auto"/>
    </w:pPr>
  </w:style>
  <w:style w:type="paragraph" w:styleId="52">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3">
    <w:name w:val="index 2"/>
    <w:basedOn w:val="1"/>
    <w:next w:val="1"/>
    <w:qFormat/>
    <w:uiPriority w:val="0"/>
    <w:pPr>
      <w:adjustRightInd w:val="0"/>
      <w:spacing w:line="360" w:lineRule="auto"/>
      <w:ind w:left="480" w:hanging="240"/>
      <w:jc w:val="left"/>
      <w:textAlignment w:val="baseline"/>
    </w:pPr>
    <w:rPr>
      <w:sz w:val="20"/>
    </w:rPr>
  </w:style>
  <w:style w:type="paragraph" w:styleId="54">
    <w:name w:val="Title"/>
    <w:basedOn w:val="1"/>
    <w:next w:val="1"/>
    <w:link w:val="83"/>
    <w:qFormat/>
    <w:uiPriority w:val="0"/>
    <w:pPr>
      <w:spacing w:before="240" w:after="60"/>
      <w:jc w:val="center"/>
      <w:outlineLvl w:val="0"/>
    </w:pPr>
    <w:rPr>
      <w:rFonts w:ascii="Cambria" w:hAnsi="Cambria" w:cs="Cambria"/>
      <w:b/>
      <w:bCs/>
      <w:sz w:val="32"/>
      <w:szCs w:val="32"/>
    </w:rPr>
  </w:style>
  <w:style w:type="paragraph" w:styleId="55">
    <w:name w:val="annotation subject"/>
    <w:basedOn w:val="24"/>
    <w:next w:val="24"/>
    <w:semiHidden/>
    <w:qFormat/>
    <w:uiPriority w:val="0"/>
    <w:pPr>
      <w:adjustRightInd/>
      <w:spacing w:line="240" w:lineRule="auto"/>
      <w:textAlignment w:val="auto"/>
    </w:pPr>
    <w:rPr>
      <w:rFonts w:ascii="Times New Roman"/>
      <w:b/>
      <w:bCs/>
      <w:snapToGrid/>
      <w:kern w:val="2"/>
      <w:sz w:val="21"/>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9">
    <w:name w:val="Strong"/>
    <w:qFormat/>
    <w:uiPriority w:val="0"/>
    <w:rPr>
      <w:b/>
    </w:rPr>
  </w:style>
  <w:style w:type="character" w:styleId="60">
    <w:name w:val="page number"/>
    <w:basedOn w:val="58"/>
    <w:qFormat/>
    <w:uiPriority w:val="0"/>
  </w:style>
  <w:style w:type="character" w:styleId="61">
    <w:name w:val="FollowedHyperlink"/>
    <w:basedOn w:val="58"/>
    <w:qFormat/>
    <w:uiPriority w:val="0"/>
    <w:rPr>
      <w:color w:val="000000"/>
      <w:u w:val="none"/>
    </w:rPr>
  </w:style>
  <w:style w:type="character" w:styleId="62">
    <w:name w:val="Emphasis"/>
    <w:basedOn w:val="58"/>
    <w:qFormat/>
    <w:uiPriority w:val="0"/>
  </w:style>
  <w:style w:type="character" w:styleId="63">
    <w:name w:val="Hyperlink"/>
    <w:basedOn w:val="58"/>
    <w:qFormat/>
    <w:uiPriority w:val="99"/>
    <w:rPr>
      <w:color w:val="000000"/>
      <w:u w:val="none"/>
    </w:rPr>
  </w:style>
  <w:style w:type="character" w:styleId="64">
    <w:name w:val="annotation reference"/>
    <w:semiHidden/>
    <w:qFormat/>
    <w:uiPriority w:val="0"/>
    <w:rPr>
      <w:sz w:val="21"/>
      <w:szCs w:val="21"/>
    </w:rPr>
  </w:style>
  <w:style w:type="paragraph" w:customStyle="1" w:styleId="65">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66">
    <w:name w:val="列出段落1"/>
    <w:basedOn w:val="1"/>
    <w:qFormat/>
    <w:uiPriority w:val="0"/>
    <w:pPr>
      <w:ind w:firstLine="420" w:firstLineChars="200"/>
    </w:pPr>
    <w:rPr>
      <w:rFonts w:ascii="Calibri" w:hAnsi="Calibri"/>
    </w:rPr>
  </w:style>
  <w:style w:type="character" w:customStyle="1" w:styleId="67">
    <w:name w:val="hei"/>
    <w:basedOn w:val="58"/>
    <w:qFormat/>
    <w:uiPriority w:val="0"/>
  </w:style>
  <w:style w:type="character" w:customStyle="1" w:styleId="68">
    <w:name w:val="标题 3 Char"/>
    <w:link w:val="8"/>
    <w:qFormat/>
    <w:locked/>
    <w:uiPriority w:val="0"/>
    <w:rPr>
      <w:rFonts w:eastAsia="宋体"/>
      <w:b/>
      <w:kern w:val="2"/>
      <w:sz w:val="32"/>
      <w:lang w:val="en-US" w:eastAsia="zh-CN" w:bidi="ar-SA"/>
    </w:rPr>
  </w:style>
  <w:style w:type="character" w:customStyle="1" w:styleId="69">
    <w:name w:val="批注框文本 Char"/>
    <w:link w:val="36"/>
    <w:qFormat/>
    <w:locked/>
    <w:uiPriority w:val="0"/>
    <w:rPr>
      <w:rFonts w:eastAsia="宋体"/>
      <w:kern w:val="2"/>
      <w:sz w:val="18"/>
      <w:lang w:val="en-US" w:eastAsia="zh-CN" w:bidi="ar-SA"/>
    </w:rPr>
  </w:style>
  <w:style w:type="character" w:customStyle="1" w:styleId="70">
    <w:name w:val="Heading 1 Char"/>
    <w:qFormat/>
    <w:locked/>
    <w:uiPriority w:val="0"/>
    <w:rPr>
      <w:rFonts w:ascii="宋体" w:hAnsi="Courier New" w:eastAsia="宋体"/>
      <w:b/>
      <w:kern w:val="44"/>
      <w:sz w:val="44"/>
      <w:lang w:val="en-US" w:eastAsia="zh-CN" w:bidi="ar-SA"/>
    </w:rPr>
  </w:style>
  <w:style w:type="character" w:customStyle="1" w:styleId="71">
    <w:name w:val="pr101"/>
    <w:qFormat/>
    <w:uiPriority w:val="0"/>
    <w:rPr>
      <w:rFonts w:ascii="Times New Roman" w:hAnsi="Times New Roman" w:eastAsia="宋体" w:cs="Times New Roman"/>
    </w:rPr>
  </w:style>
  <w:style w:type="character" w:customStyle="1" w:styleId="72">
    <w:name w:val="case31"/>
    <w:qFormat/>
    <w:uiPriority w:val="0"/>
    <w:rPr>
      <w:rFonts w:hint="default" w:ascii="ˎ̥" w:hAnsi="ˎ̥"/>
      <w:sz w:val="21"/>
    </w:rPr>
  </w:style>
  <w:style w:type="character" w:customStyle="1" w:styleId="73">
    <w:name w:val="正文缩进 Char"/>
    <w:link w:val="19"/>
    <w:qFormat/>
    <w:locked/>
    <w:uiPriority w:val="0"/>
    <w:rPr>
      <w:rFonts w:eastAsia="宋体"/>
      <w:kern w:val="2"/>
      <w:sz w:val="21"/>
      <w:lang w:bidi="ar-SA"/>
    </w:rPr>
  </w:style>
  <w:style w:type="character" w:customStyle="1" w:styleId="74">
    <w:name w:val="style141"/>
    <w:qFormat/>
    <w:uiPriority w:val="0"/>
    <w:rPr>
      <w:b/>
      <w:color w:val="FF9900"/>
      <w:sz w:val="22"/>
    </w:rPr>
  </w:style>
  <w:style w:type="character" w:customStyle="1" w:styleId="75">
    <w:name w:val="标题 1 Char"/>
    <w:link w:val="6"/>
    <w:qFormat/>
    <w:locked/>
    <w:uiPriority w:val="0"/>
    <w:rPr>
      <w:rFonts w:ascii="宋体" w:hAnsi="Courier New" w:eastAsia="宋体"/>
      <w:b/>
      <w:kern w:val="44"/>
      <w:sz w:val="44"/>
      <w:lang w:val="en-US" w:eastAsia="zh-CN" w:bidi="ar-SA"/>
    </w:rPr>
  </w:style>
  <w:style w:type="character" w:customStyle="1" w:styleId="76">
    <w:name w:val="标题 2 Char"/>
    <w:link w:val="7"/>
    <w:qFormat/>
    <w:locked/>
    <w:uiPriority w:val="0"/>
    <w:rPr>
      <w:rFonts w:ascii="黑体" w:eastAsia="黑体" w:cs="Times New Roman"/>
      <w:b/>
      <w:color w:val="000000"/>
      <w:kern w:val="2"/>
      <w:sz w:val="24"/>
    </w:rPr>
  </w:style>
  <w:style w:type="character" w:customStyle="1" w:styleId="77">
    <w:name w:val="w1"/>
    <w:basedOn w:val="58"/>
    <w:qFormat/>
    <w:uiPriority w:val="0"/>
  </w:style>
  <w:style w:type="character" w:customStyle="1" w:styleId="78">
    <w:name w:val="页脚 Char"/>
    <w:link w:val="37"/>
    <w:semiHidden/>
    <w:qFormat/>
    <w:uiPriority w:val="0"/>
    <w:rPr>
      <w:rFonts w:eastAsia="宋体"/>
      <w:kern w:val="2"/>
      <w:sz w:val="18"/>
      <w:lang w:val="en-US" w:eastAsia="zh-CN" w:bidi="ar-SA"/>
    </w:rPr>
  </w:style>
  <w:style w:type="character" w:customStyle="1" w:styleId="79">
    <w:name w:val="文档结构图 Char"/>
    <w:link w:val="23"/>
    <w:qFormat/>
    <w:locked/>
    <w:uiPriority w:val="0"/>
    <w:rPr>
      <w:rFonts w:ascii="宋体" w:hAnsi="Calibri" w:eastAsia="宋体"/>
      <w:kern w:val="2"/>
      <w:sz w:val="18"/>
      <w:szCs w:val="18"/>
      <w:lang w:val="en-US" w:eastAsia="zh-CN" w:bidi="ar-SA"/>
    </w:rPr>
  </w:style>
  <w:style w:type="character" w:customStyle="1" w:styleId="80">
    <w:name w:val="标题 4 Char"/>
    <w:link w:val="9"/>
    <w:qFormat/>
    <w:locked/>
    <w:uiPriority w:val="0"/>
    <w:rPr>
      <w:rFonts w:ascii="Arial" w:hAnsi="Arial" w:eastAsia="黑体" w:cs="Times New Roman"/>
      <w:b/>
      <w:sz w:val="28"/>
    </w:rPr>
  </w:style>
  <w:style w:type="character" w:customStyle="1" w:styleId="81">
    <w:name w:val="para1"/>
    <w:qFormat/>
    <w:uiPriority w:val="0"/>
    <w:rPr>
      <w:rFonts w:hint="default" w:ascii="Arial" w:hAnsi="Arial"/>
      <w:sz w:val="18"/>
    </w:rPr>
  </w:style>
  <w:style w:type="character" w:customStyle="1" w:styleId="82">
    <w:name w:val="large1"/>
    <w:qFormat/>
    <w:uiPriority w:val="0"/>
    <w:rPr>
      <w:rFonts w:hint="eastAsia" w:ascii="宋体" w:hAnsi="宋体" w:eastAsia="宋体"/>
      <w:sz w:val="21"/>
      <w:szCs w:val="21"/>
    </w:rPr>
  </w:style>
  <w:style w:type="character" w:customStyle="1" w:styleId="83">
    <w:name w:val="标题 Char"/>
    <w:link w:val="54"/>
    <w:qFormat/>
    <w:locked/>
    <w:uiPriority w:val="0"/>
    <w:rPr>
      <w:rFonts w:ascii="Cambria" w:hAnsi="Cambria" w:eastAsia="宋体" w:cs="Cambria"/>
      <w:b/>
      <w:bCs/>
      <w:kern w:val="2"/>
      <w:sz w:val="32"/>
      <w:szCs w:val="32"/>
      <w:lang w:val="en-US" w:eastAsia="zh-CN" w:bidi="ar-SA"/>
    </w:rPr>
  </w:style>
  <w:style w:type="character" w:customStyle="1" w:styleId="84">
    <w:name w:val="页眉 Char"/>
    <w:link w:val="38"/>
    <w:qFormat/>
    <w:locked/>
    <w:uiPriority w:val="0"/>
    <w:rPr>
      <w:rFonts w:eastAsia="宋体"/>
      <w:kern w:val="2"/>
      <w:sz w:val="18"/>
      <w:lang w:val="en-US" w:eastAsia="zh-CN" w:bidi="ar-SA"/>
    </w:rPr>
  </w:style>
  <w:style w:type="character" w:customStyle="1" w:styleId="85">
    <w:name w:val="Footer Char"/>
    <w:qFormat/>
    <w:locked/>
    <w:uiPriority w:val="0"/>
    <w:rPr>
      <w:rFonts w:cs="Times New Roman"/>
      <w:sz w:val="18"/>
      <w:szCs w:val="18"/>
    </w:rPr>
  </w:style>
  <w:style w:type="paragraph" w:customStyle="1" w:styleId="86">
    <w:name w:val="样式2"/>
    <w:basedOn w:val="1"/>
    <w:qFormat/>
    <w:uiPriority w:val="0"/>
  </w:style>
  <w:style w:type="paragraph" w:customStyle="1" w:styleId="8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9">
    <w:name w:val="Char Char Char Char"/>
    <w:basedOn w:val="1"/>
    <w:qFormat/>
    <w:uiPriority w:val="0"/>
    <w:pPr>
      <w:widowControl/>
      <w:spacing w:after="160" w:line="240" w:lineRule="exact"/>
      <w:jc w:val="left"/>
    </w:pPr>
  </w:style>
  <w:style w:type="paragraph" w:customStyle="1" w:styleId="90">
    <w:name w:val="表格文字"/>
    <w:next w:val="5"/>
    <w:qFormat/>
    <w:uiPriority w:val="0"/>
    <w:pPr>
      <w:jc w:val="center"/>
    </w:pPr>
    <w:rPr>
      <w:rFonts w:ascii="Times New Roman" w:hAnsi="Times New Roman" w:eastAsia="楷体_GB2312" w:cs="Times New Roman"/>
      <w:sz w:val="24"/>
      <w:lang w:val="en-US" w:eastAsia="zh-CN" w:bidi="ar-SA"/>
    </w:rPr>
  </w:style>
  <w:style w:type="paragraph" w:customStyle="1" w:styleId="91">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9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
    <w:name w:val="芲"/>
    <w:basedOn w:val="1"/>
    <w:next w:val="1"/>
    <w:qFormat/>
    <w:uiPriority w:val="0"/>
    <w:pPr>
      <w:adjustRightInd w:val="0"/>
      <w:spacing w:line="360" w:lineRule="auto"/>
      <w:ind w:firstLine="425"/>
      <w:jc w:val="right"/>
      <w:textAlignment w:val="baseline"/>
    </w:pPr>
    <w:rPr>
      <w:color w:val="000000"/>
      <w:sz w:val="24"/>
    </w:rPr>
  </w:style>
  <w:style w:type="paragraph" w:customStyle="1" w:styleId="94">
    <w:name w:val="正文（标记）"/>
    <w:basedOn w:val="1"/>
    <w:qFormat/>
    <w:uiPriority w:val="0"/>
    <w:pPr>
      <w:tabs>
        <w:tab w:val="left" w:pos="960"/>
      </w:tabs>
      <w:spacing w:before="156" w:after="156"/>
      <w:ind w:left="960" w:hanging="420"/>
    </w:pPr>
    <w:rPr>
      <w:rFonts w:ascii="仿宋_GB2312" w:eastAsia="仿宋_GB2312"/>
      <w:szCs w:val="24"/>
    </w:rPr>
  </w:style>
  <w:style w:type="paragraph" w:customStyle="1" w:styleId="95">
    <w:name w:val="TOC 标题1"/>
    <w:basedOn w:val="6"/>
    <w:next w:val="1"/>
    <w:qFormat/>
    <w:uiPriority w:val="39"/>
    <w:pPr>
      <w:spacing w:line="578" w:lineRule="auto"/>
      <w:outlineLvl w:val="9"/>
    </w:pPr>
    <w:rPr>
      <w:rFonts w:ascii="Times New Roman" w:hAnsi="Times New Roman"/>
      <w:bCs/>
      <w:szCs w:val="44"/>
    </w:rPr>
  </w:style>
  <w:style w:type="paragraph" w:customStyle="1" w:styleId="96">
    <w:name w:val="正文文本 21"/>
    <w:basedOn w:val="1"/>
    <w:qFormat/>
    <w:uiPriority w:val="0"/>
    <w:pPr>
      <w:adjustRightInd w:val="0"/>
      <w:ind w:left="1332"/>
      <w:jc w:val="left"/>
      <w:textAlignment w:val="baseline"/>
    </w:pPr>
    <w:rPr>
      <w:spacing w:val="-20"/>
      <w:sz w:val="28"/>
    </w:rPr>
  </w:style>
  <w:style w:type="paragraph" w:customStyle="1" w:styleId="97">
    <w:name w:val="图表题注"/>
    <w:basedOn w:val="20"/>
    <w:next w:val="19"/>
    <w:qFormat/>
    <w:uiPriority w:val="0"/>
    <w:pPr>
      <w:spacing w:before="152" w:after="160"/>
      <w:jc w:val="center"/>
    </w:pPr>
    <w:rPr>
      <w:rFonts w:ascii="Times New Roman" w:hAnsi="Times New Roman" w:eastAsia="宋体"/>
      <w:sz w:val="21"/>
    </w:rPr>
  </w:style>
  <w:style w:type="paragraph" w:customStyle="1" w:styleId="9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9">
    <w:name w:val="Char1 Char Char Char"/>
    <w:basedOn w:val="1"/>
    <w:qFormat/>
    <w:uiPriority w:val="0"/>
  </w:style>
  <w:style w:type="paragraph" w:customStyle="1" w:styleId="100">
    <w:name w:val="Achievement"/>
    <w:basedOn w:val="1"/>
    <w:qFormat/>
    <w:uiPriority w:val="0"/>
    <w:pPr>
      <w:widowControl/>
      <w:ind w:left="180" w:hanging="180"/>
      <w:jc w:val="left"/>
    </w:pPr>
    <w:rPr>
      <w:kern w:val="0"/>
      <w:sz w:val="20"/>
    </w:rPr>
  </w:style>
  <w:style w:type="paragraph" w:customStyle="1" w:styleId="101">
    <w:name w:val="Style1"/>
    <w:basedOn w:val="1"/>
    <w:qFormat/>
    <w:uiPriority w:val="0"/>
    <w:pPr>
      <w:widowControl/>
      <w:tabs>
        <w:tab w:val="left" w:pos="-720"/>
      </w:tabs>
      <w:spacing w:after="120"/>
    </w:pPr>
    <w:rPr>
      <w:spacing w:val="-3"/>
      <w:kern w:val="0"/>
      <w:sz w:val="24"/>
      <w:lang w:val="en-AU" w:eastAsia="en-US"/>
    </w:rPr>
  </w:style>
  <w:style w:type="paragraph" w:customStyle="1" w:styleId="102">
    <w:name w:val="列出段落111"/>
    <w:basedOn w:val="1"/>
    <w:qFormat/>
    <w:uiPriority w:val="0"/>
    <w:pPr>
      <w:ind w:firstLine="420" w:firstLineChars="200"/>
    </w:pPr>
    <w:rPr>
      <w:rFonts w:ascii="Calibri" w:hAnsi="Calibri"/>
      <w:szCs w:val="22"/>
    </w:rPr>
  </w:style>
  <w:style w:type="paragraph" w:customStyle="1" w:styleId="10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4">
    <w:name w:val="xl7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5">
    <w:name w:val="样式9 Char"/>
    <w:basedOn w:val="1"/>
    <w:qFormat/>
    <w:uiPriority w:val="0"/>
    <w:pPr>
      <w:widowControl/>
      <w:spacing w:line="440" w:lineRule="exact"/>
      <w:ind w:firstLine="200" w:firstLineChars="200"/>
      <w:jc w:val="left"/>
    </w:pPr>
    <w:rPr>
      <w:spacing w:val="6"/>
      <w:kern w:val="0"/>
      <w:sz w:val="24"/>
    </w:rPr>
  </w:style>
  <w:style w:type="paragraph" w:customStyle="1" w:styleId="106">
    <w:name w:val="样式1"/>
    <w:basedOn w:val="1"/>
    <w:qFormat/>
    <w:uiPriority w:val="0"/>
    <w:pPr>
      <w:adjustRightInd w:val="0"/>
      <w:spacing w:line="490" w:lineRule="exact"/>
      <w:ind w:firstLine="556"/>
      <w:textAlignment w:val="baseline"/>
    </w:pPr>
    <w:rPr>
      <w:rFonts w:ascii="宋体" w:eastAsia="仿宋_GB2312"/>
      <w:kern w:val="0"/>
      <w:sz w:val="28"/>
    </w:rPr>
  </w:style>
  <w:style w:type="paragraph" w:customStyle="1" w:styleId="107">
    <w:name w:val="!首行缩进"/>
    <w:basedOn w:val="1"/>
    <w:qFormat/>
    <w:uiPriority w:val="0"/>
    <w:pPr>
      <w:spacing w:line="300" w:lineRule="auto"/>
      <w:ind w:firstLine="480" w:firstLineChars="200"/>
    </w:pPr>
    <w:rPr>
      <w:rFonts w:ascii="宋体" w:hAnsi="宋体" w:cs="宋体"/>
    </w:rPr>
  </w:style>
  <w:style w:type="paragraph" w:customStyle="1" w:styleId="108">
    <w:name w:val="p0"/>
    <w:basedOn w:val="1"/>
    <w:qFormat/>
    <w:uiPriority w:val="0"/>
    <w:pPr>
      <w:widowControl/>
    </w:pPr>
    <w:rPr>
      <w:kern w:val="0"/>
      <w:szCs w:val="21"/>
    </w:rPr>
  </w:style>
  <w:style w:type="paragraph" w:customStyle="1" w:styleId="109">
    <w:name w:val="标准段落正文"/>
    <w:basedOn w:val="1"/>
    <w:qFormat/>
    <w:uiPriority w:val="0"/>
    <w:pPr>
      <w:spacing w:line="312" w:lineRule="auto"/>
      <w:ind w:firstLine="480"/>
    </w:pPr>
    <w:rPr>
      <w:sz w:val="24"/>
    </w:rPr>
  </w:style>
  <w:style w:type="paragraph" w:customStyle="1" w:styleId="110">
    <w:name w:val="Char1"/>
    <w:basedOn w:val="1"/>
    <w:qFormat/>
    <w:uiPriority w:val="0"/>
  </w:style>
  <w:style w:type="paragraph" w:customStyle="1" w:styleId="111">
    <w:name w:val="标题10"/>
    <w:basedOn w:val="12"/>
    <w:qFormat/>
    <w:uiPriority w:val="0"/>
    <w:pPr>
      <w:tabs>
        <w:tab w:val="left" w:pos="360"/>
        <w:tab w:val="left" w:pos="720"/>
        <w:tab w:val="clear" w:pos="1296"/>
      </w:tabs>
      <w:ind w:left="901" w:leftChars="300" w:hanging="181"/>
    </w:pPr>
    <w:rPr>
      <w:rFonts w:eastAsia="楷体_GB2312"/>
    </w:rPr>
  </w:style>
  <w:style w:type="paragraph" w:customStyle="1" w:styleId="112">
    <w:name w:val="xl6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13">
    <w:name w:val="Char11"/>
    <w:basedOn w:val="1"/>
    <w:qFormat/>
    <w:uiPriority w:val="0"/>
  </w:style>
  <w:style w:type="paragraph" w:customStyle="1" w:styleId="11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17">
    <w:name w:val="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8">
    <w:name w:val="Technical 4"/>
    <w:qFormat/>
    <w:uiPriority w:val="0"/>
    <w:pPr>
      <w:widowControl w:val="0"/>
      <w:tabs>
        <w:tab w:val="left" w:pos="-720"/>
      </w:tabs>
    </w:pPr>
    <w:rPr>
      <w:rFonts w:ascii="Arial" w:hAnsi="Arial" w:eastAsia="宋体" w:cs="Times New Roman"/>
      <w:b/>
      <w:sz w:val="24"/>
      <w:lang w:val="en-US" w:eastAsia="zh-CN" w:bidi="ar-SA"/>
    </w:rPr>
  </w:style>
  <w:style w:type="paragraph" w:customStyle="1" w:styleId="119">
    <w:name w:val="xl76"/>
    <w:basedOn w:val="1"/>
    <w:qFormat/>
    <w:uiPriority w:val="0"/>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120">
    <w:name w:val="默认段落字体 Para Char Char Char Char Char Char Char Char Char"/>
    <w:basedOn w:val="1"/>
    <w:qFormat/>
    <w:uiPriority w:val="0"/>
  </w:style>
  <w:style w:type="paragraph" w:customStyle="1" w:styleId="121">
    <w:name w:val="默认段落字体 Para Char Char Char Char Char Char Char Char Char Char"/>
    <w:basedOn w:val="1"/>
    <w:qFormat/>
    <w:uiPriority w:val="0"/>
  </w:style>
  <w:style w:type="paragraph" w:customStyle="1" w:styleId="122">
    <w:name w:val="font7"/>
    <w:basedOn w:val="1"/>
    <w:qFormat/>
    <w:uiPriority w:val="0"/>
    <w:pPr>
      <w:widowControl/>
      <w:spacing w:before="100" w:beforeAutospacing="1" w:after="100" w:afterAutospacing="1"/>
      <w:jc w:val="left"/>
    </w:pPr>
    <w:rPr>
      <w:kern w:val="0"/>
      <w:sz w:val="18"/>
      <w:szCs w:val="18"/>
    </w:rPr>
  </w:style>
  <w:style w:type="paragraph" w:customStyle="1" w:styleId="123">
    <w:name w:val="xl7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4">
    <w:name w:val="样式 小四 段前: 5 磅 段后: 5 磅 首行缩进:  2 字符"/>
    <w:basedOn w:val="1"/>
    <w:qFormat/>
    <w:uiPriority w:val="0"/>
    <w:pPr>
      <w:tabs>
        <w:tab w:val="left" w:pos="0"/>
        <w:tab w:val="left" w:pos="1560"/>
      </w:tabs>
      <w:spacing w:beforeLines="30" w:afterLines="30"/>
      <w:jc w:val="center"/>
    </w:pPr>
    <w:rPr>
      <w:rFonts w:ascii="仿宋_GB2312" w:hAnsi="宋体" w:eastAsia="仿宋_GB2312"/>
      <w:color w:val="000000"/>
      <w:sz w:val="32"/>
    </w:rPr>
  </w:style>
  <w:style w:type="paragraph" w:customStyle="1" w:styleId="1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6">
    <w:name w:val="默认段落字体 Para Char Char Char Char"/>
    <w:basedOn w:val="1"/>
    <w:qFormat/>
    <w:uiPriority w:val="0"/>
  </w:style>
  <w:style w:type="paragraph" w:customStyle="1" w:styleId="12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28">
    <w:name w:val="Char"/>
    <w:basedOn w:val="1"/>
    <w:qFormat/>
    <w:uiPriority w:val="0"/>
  </w:style>
  <w:style w:type="paragraph" w:customStyle="1" w:styleId="129">
    <w:name w:val="font8"/>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13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3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4">
    <w:name w:val="列出段落2"/>
    <w:basedOn w:val="1"/>
    <w:qFormat/>
    <w:uiPriority w:val="0"/>
    <w:pPr>
      <w:ind w:firstLine="420" w:firstLineChars="200"/>
    </w:pPr>
    <w:rPr>
      <w:rFonts w:ascii="Calibri" w:hAnsi="Calibri" w:cs="Calibri"/>
      <w:szCs w:val="21"/>
    </w:rPr>
  </w:style>
  <w:style w:type="paragraph" w:customStyle="1" w:styleId="135">
    <w:name w:val="列出段落11"/>
    <w:basedOn w:val="1"/>
    <w:qFormat/>
    <w:uiPriority w:val="99"/>
    <w:pPr>
      <w:ind w:firstLine="420" w:firstLineChars="200"/>
    </w:pPr>
  </w:style>
  <w:style w:type="paragraph" w:customStyle="1" w:styleId="136">
    <w:name w:val="xl7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7">
    <w:name w:val="正文1"/>
    <w:basedOn w:val="1"/>
    <w:qFormat/>
    <w:uiPriority w:val="0"/>
    <w:pPr>
      <w:adjustRightInd w:val="0"/>
      <w:spacing w:line="360" w:lineRule="atLeast"/>
      <w:jc w:val="left"/>
      <w:textAlignment w:val="baseline"/>
    </w:pPr>
    <w:rPr>
      <w:rFonts w:ascii="宋体"/>
      <w:kern w:val="0"/>
      <w:sz w:val="24"/>
    </w:rPr>
  </w:style>
  <w:style w:type="paragraph" w:customStyle="1" w:styleId="138">
    <w:name w:val="p16"/>
    <w:basedOn w:val="1"/>
    <w:qFormat/>
    <w:uiPriority w:val="0"/>
    <w:pPr>
      <w:widowControl/>
      <w:ind w:firstLine="420"/>
    </w:pPr>
    <w:rPr>
      <w:kern w:val="0"/>
      <w:szCs w:val="21"/>
    </w:rPr>
  </w:style>
  <w:style w:type="paragraph" w:customStyle="1" w:styleId="139">
    <w:name w:val="Table Paragraph"/>
    <w:basedOn w:val="1"/>
    <w:qFormat/>
    <w:uiPriority w:val="1"/>
    <w:pPr>
      <w:autoSpaceDE w:val="0"/>
      <w:autoSpaceDN w:val="0"/>
      <w:jc w:val="left"/>
    </w:pPr>
    <w:rPr>
      <w:rFonts w:hAnsi="宋体" w:cs="宋体"/>
      <w:kern w:val="0"/>
      <w:sz w:val="22"/>
      <w:szCs w:val="22"/>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5"/>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4981</Words>
  <Characters>28393</Characters>
  <Lines>236</Lines>
  <Paragraphs>66</Paragraphs>
  <TotalTime>27</TotalTime>
  <ScaleCrop>false</ScaleCrop>
  <LinksUpToDate>false</LinksUpToDate>
  <CharactersWithSpaces>33308</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2018-06-26T08:49:00Z</dcterms:created>
  <dc:creator>Administrator</dc:creator>
  <cp:lastModifiedBy>陈叶子</cp:lastModifiedBy>
  <cp:lastPrinted>2019-06-05T07:52:00Z</cp:lastPrinted>
  <dcterms:modified xsi:type="dcterms:W3CDTF">2019-06-10T01:13:38Z</dcterms:modified>
  <dc:title>目   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